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F75B5"/>
          <w:sz w:val="28"/>
        </w:rPr>
        <w:t>WEEK 5 PROJECT REPORT</w:t>
      </w:r>
    </w:p>
    <w:p>
      <w:pPr>
        <w:pStyle w:val="Title"/>
        <w:jc w:val="center"/>
      </w:pPr>
      <w:r>
        <w:t>Social Media Performance Reporting</w:t>
        <w:br/>
        <w:t>&amp; Future Strategy Development</w:t>
      </w:r>
    </w:p>
    <w:p>
      <w:pPr>
        <w:jc w:val="center"/>
      </w:pPr>
      <w:r>
        <w:rPr>
          <w:b/>
          <w:sz w:val="26"/>
        </w:rPr>
        <w:t>Brand: PixelSpark Studio | Platform: Instagram</w:t>
      </w:r>
    </w:p>
    <w:p>
      <w:pPr>
        <w:spacing w:before="400"/>
        <w:jc w:val="center"/>
      </w:pPr>
      <w:r>
        <w:t>Reporting period: November 1–30, 2026</w:t>
        <w:br/>
        <w:t>Planning period: December 1–31, 2026</w:t>
      </w:r>
    </w:p>
    <w:p>
      <w:pPr>
        <w:spacing w:before="1100"/>
        <w:jc w:val="center"/>
      </w:pPr>
      <w:r>
        <w:t>Prepared by: __________________________</w:t>
        <w:br/>
        <w:t>Institution: _____________________________</w:t>
      </w:r>
    </w:p>
    <w:p>
      <w:r>
        <w:br w:type="page"/>
      </w:r>
    </w:p>
    <w:p>
      <w:pPr>
        <w:pStyle w:val="Heading1"/>
      </w:pPr>
      <w:r>
        <w:t>1. Executive Summary</w:t>
      </w:r>
    </w:p>
    <w:p>
      <w:r>
        <w:t>This report evaluates a simulated month of Instagram activity for PixelSpark Studio, a proposed faceless, AI-powered content brand sharing practical content-creation tips, AI-assisted workflows, and social media growth ideas. The reporting period is November 1–30, 2026. All figures are hypothetical and created for academic demonstration; they are not live Instagram Insights or verified business results.</w:t>
      </w:r>
    </w:p>
    <w:p>
      <w:r>
        <w:t>The simulated account reached 48,000 unique accounts and generated 76,000 impressions, 3,040 engagements, 1,140 profile visits, 360 link clicks, 72 leads, and 9 attributed purchases or paid enquiries. Reels generated the strongest reach, while educational carousels produced the highest engagement rate and supported saves and shares. The main opportunity is to convert attention into measurable outcomes by strengthening calls to action, improving the landing page, and nurturing interested users.</w:t>
      </w:r>
    </w:p>
    <w:p>
      <w:r>
        <w:t>For December 2026, this report recommends a focused content mix, consistent publishing, weekly experiments, clearer conversion paths, and an illustrative budget of ₹20,000. Success will be measured by qualified leads and conversions, not follower growth alone.</w:t>
      </w:r>
    </w:p>
    <w:p>
      <w:pPr>
        <w:pStyle w:val="Heading1"/>
      </w:pPr>
      <w:r>
        <w:t>2. Brand and Reporting Context</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6"/>
              </w:rPr>
              <w:t>Item</w:t>
            </w:r>
          </w:p>
        </w:tc>
        <w:tc>
          <w:tcPr>
            <w:tcW w:type="dxa" w:w="5040"/>
            <w:shd w:fill="17365D"/>
          </w:tcPr>
          <w:p>
            <w:r>
              <w:rPr>
                <w:b/>
                <w:color w:val="FFFFFF"/>
                <w:sz w:val="16"/>
              </w:rPr>
              <w:t>Description</w:t>
            </w:r>
          </w:p>
        </w:tc>
      </w:tr>
      <w:tr>
        <w:tc>
          <w:tcPr>
            <w:tcW w:type="dxa" w:w="5040"/>
            <w:vAlign w:val="center"/>
          </w:tcPr>
          <w:p>
            <w:pPr>
              <w:spacing w:after="20"/>
            </w:pPr>
            <w:r>
              <w:rPr>
                <w:rFonts w:ascii="Arial" w:hAnsi="Arial"/>
                <w:sz w:val="16"/>
              </w:rPr>
              <w:t>Brand</w:t>
            </w:r>
          </w:p>
        </w:tc>
        <w:tc>
          <w:tcPr>
            <w:tcW w:type="dxa" w:w="5040"/>
            <w:vAlign w:val="center"/>
          </w:tcPr>
          <w:p>
            <w:pPr>
              <w:spacing w:after="20"/>
            </w:pPr>
            <w:r>
              <w:rPr>
                <w:rFonts w:ascii="Arial" w:hAnsi="Arial"/>
                <w:sz w:val="16"/>
              </w:rPr>
              <w:t>PixelSpark Studio — proposed faceless brand sharing AI-assisted content ideas and social media tips.</w:t>
            </w:r>
          </w:p>
        </w:tc>
      </w:tr>
      <w:tr>
        <w:tc>
          <w:tcPr>
            <w:tcW w:type="dxa" w:w="5040"/>
            <w:vAlign w:val="center"/>
            <w:shd w:fill="EAF1F8"/>
          </w:tcPr>
          <w:p>
            <w:pPr>
              <w:spacing w:after="20"/>
            </w:pPr>
            <w:r>
              <w:rPr>
                <w:rFonts w:ascii="Arial" w:hAnsi="Arial"/>
                <w:sz w:val="16"/>
              </w:rPr>
              <w:t>Platform</w:t>
            </w:r>
          </w:p>
        </w:tc>
        <w:tc>
          <w:tcPr>
            <w:tcW w:type="dxa" w:w="5040"/>
            <w:vAlign w:val="center"/>
            <w:shd w:fill="EAF1F8"/>
          </w:tcPr>
          <w:p>
            <w:pPr>
              <w:spacing w:after="20"/>
            </w:pPr>
            <w:r>
              <w:rPr>
                <w:rFonts w:ascii="Arial" w:hAnsi="Arial"/>
                <w:sz w:val="16"/>
              </w:rPr>
              <w:t>Instagram: Reels, carousels, Stories, profile, and link-in-bio destination.</w:t>
            </w:r>
          </w:p>
        </w:tc>
      </w:tr>
      <w:tr>
        <w:tc>
          <w:tcPr>
            <w:tcW w:type="dxa" w:w="5040"/>
            <w:vAlign w:val="center"/>
          </w:tcPr>
          <w:p>
            <w:pPr>
              <w:spacing w:after="20"/>
            </w:pPr>
            <w:r>
              <w:rPr>
                <w:rFonts w:ascii="Arial" w:hAnsi="Arial"/>
                <w:sz w:val="16"/>
              </w:rPr>
              <w:t>Audience</w:t>
            </w:r>
          </w:p>
        </w:tc>
        <w:tc>
          <w:tcPr>
            <w:tcW w:type="dxa" w:w="5040"/>
            <w:vAlign w:val="center"/>
          </w:tcPr>
          <w:p>
            <w:pPr>
              <w:spacing w:after="20"/>
            </w:pPr>
            <w:r>
              <w:rPr>
                <w:rFonts w:ascii="Arial" w:hAnsi="Arial"/>
                <w:sz w:val="16"/>
              </w:rPr>
              <w:t>Students, beginner creators, freelancers, solo entrepreneurs, and small-business owners aged approximately 18–34.</w:t>
            </w:r>
          </w:p>
        </w:tc>
      </w:tr>
      <w:tr>
        <w:tc>
          <w:tcPr>
            <w:tcW w:type="dxa" w:w="5040"/>
            <w:vAlign w:val="center"/>
            <w:shd w:fill="EAF1F8"/>
          </w:tcPr>
          <w:p>
            <w:pPr>
              <w:spacing w:after="20"/>
            </w:pPr>
            <w:r>
              <w:rPr>
                <w:rFonts w:ascii="Arial" w:hAnsi="Arial"/>
                <w:sz w:val="16"/>
              </w:rPr>
              <w:t>Reporting period</w:t>
            </w:r>
          </w:p>
        </w:tc>
        <w:tc>
          <w:tcPr>
            <w:tcW w:type="dxa" w:w="5040"/>
            <w:vAlign w:val="center"/>
            <w:shd w:fill="EAF1F8"/>
          </w:tcPr>
          <w:p>
            <w:pPr>
              <w:spacing w:after="20"/>
            </w:pPr>
            <w:r>
              <w:rPr>
                <w:rFonts w:ascii="Arial" w:hAnsi="Arial"/>
                <w:sz w:val="16"/>
              </w:rPr>
              <w:t>November 1–30, 2026 (simulated).</w:t>
            </w:r>
          </w:p>
        </w:tc>
      </w:tr>
      <w:tr>
        <w:tc>
          <w:tcPr>
            <w:tcW w:type="dxa" w:w="5040"/>
            <w:vAlign w:val="center"/>
          </w:tcPr>
          <w:p>
            <w:pPr>
              <w:spacing w:after="20"/>
            </w:pPr>
            <w:r>
              <w:rPr>
                <w:rFonts w:ascii="Arial" w:hAnsi="Arial"/>
                <w:sz w:val="16"/>
              </w:rPr>
              <w:t>Planning period</w:t>
            </w:r>
          </w:p>
        </w:tc>
        <w:tc>
          <w:tcPr>
            <w:tcW w:type="dxa" w:w="5040"/>
            <w:vAlign w:val="center"/>
          </w:tcPr>
          <w:p>
            <w:pPr>
              <w:spacing w:after="20"/>
            </w:pPr>
            <w:r>
              <w:rPr>
                <w:rFonts w:ascii="Arial" w:hAnsi="Arial"/>
                <w:sz w:val="16"/>
              </w:rPr>
              <w:t>December 1–31, 2026.</w:t>
            </w:r>
          </w:p>
        </w:tc>
      </w:tr>
      <w:tr>
        <w:tc>
          <w:tcPr>
            <w:tcW w:type="dxa" w:w="5040"/>
            <w:vAlign w:val="center"/>
            <w:shd w:fill="EAF1F8"/>
          </w:tcPr>
          <w:p>
            <w:pPr>
              <w:spacing w:after="20"/>
            </w:pPr>
            <w:r>
              <w:rPr>
                <w:rFonts w:ascii="Arial" w:hAnsi="Arial"/>
                <w:sz w:val="16"/>
              </w:rPr>
              <w:t>Data status</w:t>
            </w:r>
          </w:p>
        </w:tc>
        <w:tc>
          <w:tcPr>
            <w:tcW w:type="dxa" w:w="5040"/>
            <w:vAlign w:val="center"/>
            <w:shd w:fill="EAF1F8"/>
          </w:tcPr>
          <w:p>
            <w:pPr>
              <w:spacing w:after="20"/>
            </w:pPr>
            <w:r>
              <w:rPr>
                <w:rFonts w:ascii="Arial" w:hAnsi="Arial"/>
                <w:sz w:val="16"/>
              </w:rPr>
              <w:t>Hypothetical data for coursework; not collected from a real account.</w:t>
            </w:r>
          </w:p>
        </w:tc>
      </w:tr>
    </w:tbl>
    <w:p/>
    <w:p>
      <w:pPr>
        <w:pStyle w:val="Heading1"/>
      </w:pPr>
      <w:r>
        <w:t>3. Objectives and Measurement Approach</w:t>
      </w:r>
    </w:p>
    <w:p>
      <w:pPr>
        <w:pStyle w:val="ListBullet"/>
      </w:pPr>
      <w:r>
        <w:t>Increase awareness by reaching new audiences with useful short-form videos.</w:t>
      </w:r>
    </w:p>
    <w:p>
      <w:pPr>
        <w:pStyle w:val="ListBullet"/>
      </w:pPr>
      <w:r>
        <w:t>Build engagement through educational content, comments, saves, shares, polls, and question stickers.</w:t>
      </w:r>
    </w:p>
    <w:p>
      <w:pPr>
        <w:pStyle w:val="ListBullet"/>
      </w:pPr>
      <w:r>
        <w:t>Drive traffic from Instagram to a free content starter checklist or offer page.</w:t>
      </w:r>
    </w:p>
    <w:p>
      <w:pPr>
        <w:pStyle w:val="ListBullet"/>
      </w:pPr>
      <w:r>
        <w:t>Generate leads and early purchase enquiries that can be measured.</w:t>
      </w:r>
    </w:p>
    <w:p>
      <w:pPr>
        <w:pStyle w:val="ListBullet"/>
      </w:pPr>
      <w:r>
        <w:t>Use performance findings to refine December content, timing, creative formats, and budget allocation.</w:t>
      </w:r>
    </w:p>
    <w:p>
      <w:r>
        <w:t>Definitions used: reach is the number of unique accounts exposed to content; impressions are total displays; engagements are likes, comments, saves, and shares. Engagement rate by reach = engagements ÷ reach × 100. Profile-visit rate = profile visits ÷ reach × 100. Link click rate from profile visits = link clicks ÷ profile visits × 100. Lead conversion rate = leads ÷ link clicks × 100. Lead-to-purchase rate = purchases ÷ leads × 100. Keep definitions consistent in future reports.</w:t>
      </w:r>
    </w:p>
    <w:p>
      <w:pPr>
        <w:pStyle w:val="Heading1"/>
      </w:pPr>
      <w:r>
        <w:t>4. Simulated Monthly Performance Dashboard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r>
              <w:rPr>
                <w:b/>
                <w:color w:val="FFFFFF"/>
                <w:sz w:val="16"/>
              </w:rPr>
              <w:t>Metric</w:t>
            </w:r>
          </w:p>
        </w:tc>
        <w:tc>
          <w:tcPr>
            <w:tcW w:type="dxa" w:w="3360"/>
            <w:shd w:fill="17365D"/>
          </w:tcPr>
          <w:p>
            <w:r>
              <w:rPr>
                <w:b/>
                <w:color w:val="FFFFFF"/>
                <w:sz w:val="16"/>
              </w:rPr>
              <w:t>November result</w:t>
            </w:r>
          </w:p>
        </w:tc>
        <w:tc>
          <w:tcPr>
            <w:tcW w:type="dxa" w:w="3360"/>
            <w:shd w:fill="17365D"/>
          </w:tcPr>
          <w:p>
            <w:r>
              <w:rPr>
                <w:b/>
                <w:color w:val="FFFFFF"/>
                <w:sz w:val="16"/>
              </w:rPr>
              <w:t>Interpretation</w:t>
            </w:r>
          </w:p>
        </w:tc>
      </w:tr>
      <w:tr>
        <w:tc>
          <w:tcPr>
            <w:tcW w:type="dxa" w:w="3360"/>
            <w:vAlign w:val="center"/>
          </w:tcPr>
          <w:p>
            <w:pPr>
              <w:spacing w:after="20"/>
            </w:pPr>
            <w:r>
              <w:rPr>
                <w:rFonts w:ascii="Arial" w:hAnsi="Arial"/>
                <w:sz w:val="16"/>
              </w:rPr>
              <w:t>Feed posts published</w:t>
            </w:r>
          </w:p>
        </w:tc>
        <w:tc>
          <w:tcPr>
            <w:tcW w:type="dxa" w:w="3360"/>
            <w:vAlign w:val="center"/>
          </w:tcPr>
          <w:p>
            <w:pPr>
              <w:spacing w:after="20"/>
            </w:pPr>
            <w:r>
              <w:rPr>
                <w:rFonts w:ascii="Arial" w:hAnsi="Arial"/>
                <w:sz w:val="16"/>
              </w:rPr>
              <w:t>20</w:t>
            </w:r>
          </w:p>
        </w:tc>
        <w:tc>
          <w:tcPr>
            <w:tcW w:type="dxa" w:w="3360"/>
            <w:vAlign w:val="center"/>
          </w:tcPr>
          <w:p>
            <w:pPr>
              <w:spacing w:after="20"/>
            </w:pPr>
            <w:r>
              <w:rPr>
                <w:rFonts w:ascii="Arial" w:hAnsi="Arial"/>
                <w:sz w:val="16"/>
              </w:rPr>
              <w:t>Average of 5 posts per week, excluding daily Stories.</w:t>
            </w:r>
          </w:p>
        </w:tc>
      </w:tr>
      <w:tr>
        <w:tc>
          <w:tcPr>
            <w:tcW w:type="dxa" w:w="3360"/>
            <w:vAlign w:val="center"/>
            <w:shd w:fill="EAF1F8"/>
          </w:tcPr>
          <w:p>
            <w:pPr>
              <w:spacing w:after="20"/>
            </w:pPr>
            <w:r>
              <w:rPr>
                <w:rFonts w:ascii="Arial" w:hAnsi="Arial"/>
                <w:sz w:val="16"/>
              </w:rPr>
              <w:t>Reach</w:t>
            </w:r>
          </w:p>
        </w:tc>
        <w:tc>
          <w:tcPr>
            <w:tcW w:type="dxa" w:w="3360"/>
            <w:vAlign w:val="center"/>
            <w:shd w:fill="EAF1F8"/>
          </w:tcPr>
          <w:p>
            <w:pPr>
              <w:spacing w:after="20"/>
            </w:pPr>
            <w:r>
              <w:rPr>
                <w:rFonts w:ascii="Arial" w:hAnsi="Arial"/>
                <w:sz w:val="16"/>
              </w:rPr>
              <w:t>48,000 accounts</w:t>
            </w:r>
          </w:p>
        </w:tc>
        <w:tc>
          <w:tcPr>
            <w:tcW w:type="dxa" w:w="3360"/>
            <w:vAlign w:val="center"/>
            <w:shd w:fill="EAF1F8"/>
          </w:tcPr>
          <w:p>
            <w:pPr>
              <w:spacing w:after="20"/>
            </w:pPr>
            <w:r>
              <w:rPr>
                <w:rFonts w:ascii="Arial" w:hAnsi="Arial"/>
                <w:sz w:val="16"/>
              </w:rPr>
              <w:t>Estimated unique audience exposed to content.</w:t>
            </w:r>
          </w:p>
        </w:tc>
      </w:tr>
      <w:tr>
        <w:tc>
          <w:tcPr>
            <w:tcW w:type="dxa" w:w="3360"/>
            <w:vAlign w:val="center"/>
          </w:tcPr>
          <w:p>
            <w:pPr>
              <w:spacing w:after="20"/>
            </w:pPr>
            <w:r>
              <w:rPr>
                <w:rFonts w:ascii="Arial" w:hAnsi="Arial"/>
                <w:sz w:val="16"/>
              </w:rPr>
              <w:t>Impressions</w:t>
            </w:r>
          </w:p>
        </w:tc>
        <w:tc>
          <w:tcPr>
            <w:tcW w:type="dxa" w:w="3360"/>
            <w:vAlign w:val="center"/>
          </w:tcPr>
          <w:p>
            <w:pPr>
              <w:spacing w:after="20"/>
            </w:pPr>
            <w:r>
              <w:rPr>
                <w:rFonts w:ascii="Arial" w:hAnsi="Arial"/>
                <w:sz w:val="16"/>
              </w:rPr>
              <w:t>76,000</w:t>
            </w:r>
          </w:p>
        </w:tc>
        <w:tc>
          <w:tcPr>
            <w:tcW w:type="dxa" w:w="3360"/>
            <w:vAlign w:val="center"/>
          </w:tcPr>
          <w:p>
            <w:pPr>
              <w:spacing w:after="20"/>
            </w:pPr>
            <w:r>
              <w:rPr>
                <w:rFonts w:ascii="Arial" w:hAnsi="Arial"/>
                <w:sz w:val="16"/>
              </w:rPr>
              <w:t>Approximately 1.58 impressions per reached account.</w:t>
            </w:r>
          </w:p>
        </w:tc>
      </w:tr>
      <w:tr>
        <w:tc>
          <w:tcPr>
            <w:tcW w:type="dxa" w:w="3360"/>
            <w:vAlign w:val="center"/>
            <w:shd w:fill="EAF1F8"/>
          </w:tcPr>
          <w:p>
            <w:pPr>
              <w:spacing w:after="20"/>
            </w:pPr>
            <w:r>
              <w:rPr>
                <w:rFonts w:ascii="Arial" w:hAnsi="Arial"/>
                <w:sz w:val="16"/>
              </w:rPr>
              <w:t>Total engagements</w:t>
            </w:r>
          </w:p>
        </w:tc>
        <w:tc>
          <w:tcPr>
            <w:tcW w:type="dxa" w:w="3360"/>
            <w:vAlign w:val="center"/>
            <w:shd w:fill="EAF1F8"/>
          </w:tcPr>
          <w:p>
            <w:pPr>
              <w:spacing w:after="20"/>
            </w:pPr>
            <w:r>
              <w:rPr>
                <w:rFonts w:ascii="Arial" w:hAnsi="Arial"/>
                <w:sz w:val="16"/>
              </w:rPr>
              <w:t>3,040</w:t>
            </w:r>
          </w:p>
        </w:tc>
        <w:tc>
          <w:tcPr>
            <w:tcW w:type="dxa" w:w="3360"/>
            <w:vAlign w:val="center"/>
            <w:shd w:fill="EAF1F8"/>
          </w:tcPr>
          <w:p>
            <w:pPr>
              <w:spacing w:after="20"/>
            </w:pPr>
            <w:r>
              <w:rPr>
                <w:rFonts w:ascii="Arial" w:hAnsi="Arial"/>
                <w:sz w:val="16"/>
              </w:rPr>
              <w:t>Likes, comments, saves, and shares combined.</w:t>
            </w:r>
          </w:p>
        </w:tc>
      </w:tr>
      <w:tr>
        <w:tc>
          <w:tcPr>
            <w:tcW w:type="dxa" w:w="3360"/>
            <w:vAlign w:val="center"/>
          </w:tcPr>
          <w:p>
            <w:pPr>
              <w:spacing w:after="20"/>
            </w:pPr>
            <w:r>
              <w:rPr>
                <w:rFonts w:ascii="Arial" w:hAnsi="Arial"/>
                <w:sz w:val="16"/>
              </w:rPr>
              <w:t>Engagement rate by reach</w:t>
            </w:r>
          </w:p>
        </w:tc>
        <w:tc>
          <w:tcPr>
            <w:tcW w:type="dxa" w:w="3360"/>
            <w:vAlign w:val="center"/>
          </w:tcPr>
          <w:p>
            <w:pPr>
              <w:spacing w:after="20"/>
            </w:pPr>
            <w:r>
              <w:rPr>
                <w:rFonts w:ascii="Arial" w:hAnsi="Arial"/>
                <w:sz w:val="16"/>
              </w:rPr>
              <w:t>6.33%</w:t>
            </w:r>
          </w:p>
        </w:tc>
        <w:tc>
          <w:tcPr>
            <w:tcW w:type="dxa" w:w="3360"/>
            <w:vAlign w:val="center"/>
          </w:tcPr>
          <w:p>
            <w:pPr>
              <w:spacing w:after="20"/>
            </w:pPr>
            <w:r>
              <w:rPr>
                <w:rFonts w:ascii="Arial" w:hAnsi="Arial"/>
                <w:sz w:val="16"/>
              </w:rPr>
              <w:t>3,040 ÷ 48,000 × 100.</w:t>
            </w:r>
          </w:p>
        </w:tc>
      </w:tr>
      <w:tr>
        <w:tc>
          <w:tcPr>
            <w:tcW w:type="dxa" w:w="3360"/>
            <w:vAlign w:val="center"/>
            <w:shd w:fill="EAF1F8"/>
          </w:tcPr>
          <w:p>
            <w:pPr>
              <w:spacing w:after="20"/>
            </w:pPr>
            <w:r>
              <w:rPr>
                <w:rFonts w:ascii="Arial" w:hAnsi="Arial"/>
                <w:sz w:val="16"/>
              </w:rPr>
              <w:t>Profile visits</w:t>
            </w:r>
          </w:p>
        </w:tc>
        <w:tc>
          <w:tcPr>
            <w:tcW w:type="dxa" w:w="3360"/>
            <w:vAlign w:val="center"/>
            <w:shd w:fill="EAF1F8"/>
          </w:tcPr>
          <w:p>
            <w:pPr>
              <w:spacing w:after="20"/>
            </w:pPr>
            <w:r>
              <w:rPr>
                <w:rFonts w:ascii="Arial" w:hAnsi="Arial"/>
                <w:sz w:val="16"/>
              </w:rPr>
              <w:t>1,140</w:t>
            </w:r>
          </w:p>
        </w:tc>
        <w:tc>
          <w:tcPr>
            <w:tcW w:type="dxa" w:w="3360"/>
            <w:vAlign w:val="center"/>
            <w:shd w:fill="EAF1F8"/>
          </w:tcPr>
          <w:p>
            <w:pPr>
              <w:spacing w:after="20"/>
            </w:pPr>
            <w:r>
              <w:rPr>
                <w:rFonts w:ascii="Arial" w:hAnsi="Arial"/>
                <w:sz w:val="16"/>
              </w:rPr>
              <w:t>2.38% of reached accounts visited the profile.</w:t>
            </w:r>
          </w:p>
        </w:tc>
      </w:tr>
      <w:tr>
        <w:tc>
          <w:tcPr>
            <w:tcW w:type="dxa" w:w="3360"/>
            <w:vAlign w:val="center"/>
          </w:tcPr>
          <w:p>
            <w:pPr>
              <w:spacing w:after="20"/>
            </w:pPr>
            <w:r>
              <w:rPr>
                <w:rFonts w:ascii="Arial" w:hAnsi="Arial"/>
                <w:sz w:val="16"/>
              </w:rPr>
              <w:t>Link clicks</w:t>
            </w:r>
          </w:p>
        </w:tc>
        <w:tc>
          <w:tcPr>
            <w:tcW w:type="dxa" w:w="3360"/>
            <w:vAlign w:val="center"/>
          </w:tcPr>
          <w:p>
            <w:pPr>
              <w:spacing w:after="20"/>
            </w:pPr>
            <w:r>
              <w:rPr>
                <w:rFonts w:ascii="Arial" w:hAnsi="Arial"/>
                <w:sz w:val="16"/>
              </w:rPr>
              <w:t>360</w:t>
            </w:r>
          </w:p>
        </w:tc>
        <w:tc>
          <w:tcPr>
            <w:tcW w:type="dxa" w:w="3360"/>
            <w:vAlign w:val="center"/>
          </w:tcPr>
          <w:p>
            <w:pPr>
              <w:spacing w:after="20"/>
            </w:pPr>
            <w:r>
              <w:rPr>
                <w:rFonts w:ascii="Arial" w:hAnsi="Arial"/>
                <w:sz w:val="16"/>
              </w:rPr>
              <w:t>31.58% of profile visits clicked the link.</w:t>
            </w:r>
          </w:p>
        </w:tc>
      </w:tr>
      <w:tr>
        <w:tc>
          <w:tcPr>
            <w:tcW w:type="dxa" w:w="3360"/>
            <w:vAlign w:val="center"/>
            <w:shd w:fill="EAF1F8"/>
          </w:tcPr>
          <w:p>
            <w:pPr>
              <w:spacing w:after="20"/>
            </w:pPr>
            <w:r>
              <w:rPr>
                <w:rFonts w:ascii="Arial" w:hAnsi="Arial"/>
                <w:sz w:val="16"/>
              </w:rPr>
              <w:t>Leads</w:t>
            </w:r>
          </w:p>
        </w:tc>
        <w:tc>
          <w:tcPr>
            <w:tcW w:type="dxa" w:w="3360"/>
            <w:vAlign w:val="center"/>
            <w:shd w:fill="EAF1F8"/>
          </w:tcPr>
          <w:p>
            <w:pPr>
              <w:spacing w:after="20"/>
            </w:pPr>
            <w:r>
              <w:rPr>
                <w:rFonts w:ascii="Arial" w:hAnsi="Arial"/>
                <w:sz w:val="16"/>
              </w:rPr>
              <w:t>72</w:t>
            </w:r>
          </w:p>
        </w:tc>
        <w:tc>
          <w:tcPr>
            <w:tcW w:type="dxa" w:w="3360"/>
            <w:vAlign w:val="center"/>
            <w:shd w:fill="EAF1F8"/>
          </w:tcPr>
          <w:p>
            <w:pPr>
              <w:spacing w:after="20"/>
            </w:pPr>
            <w:r>
              <w:rPr>
                <w:rFonts w:ascii="Arial" w:hAnsi="Arial"/>
                <w:sz w:val="16"/>
              </w:rPr>
              <w:t>20.00% of link clicks became leads.</w:t>
            </w:r>
          </w:p>
        </w:tc>
      </w:tr>
      <w:tr>
        <w:tc>
          <w:tcPr>
            <w:tcW w:type="dxa" w:w="3360"/>
            <w:vAlign w:val="center"/>
          </w:tcPr>
          <w:p>
            <w:pPr>
              <w:spacing w:after="20"/>
            </w:pPr>
            <w:r>
              <w:rPr>
                <w:rFonts w:ascii="Arial" w:hAnsi="Arial"/>
                <w:sz w:val="16"/>
              </w:rPr>
              <w:t>Purchases / paid enquiries</w:t>
            </w:r>
          </w:p>
        </w:tc>
        <w:tc>
          <w:tcPr>
            <w:tcW w:type="dxa" w:w="3360"/>
            <w:vAlign w:val="center"/>
          </w:tcPr>
          <w:p>
            <w:pPr>
              <w:spacing w:after="20"/>
            </w:pPr>
            <w:r>
              <w:rPr>
                <w:rFonts w:ascii="Arial" w:hAnsi="Arial"/>
                <w:sz w:val="16"/>
              </w:rPr>
              <w:t>9</w:t>
            </w:r>
          </w:p>
        </w:tc>
        <w:tc>
          <w:tcPr>
            <w:tcW w:type="dxa" w:w="3360"/>
            <w:vAlign w:val="center"/>
          </w:tcPr>
          <w:p>
            <w:pPr>
              <w:spacing w:after="20"/>
            </w:pPr>
            <w:r>
              <w:rPr>
                <w:rFonts w:ascii="Arial" w:hAnsi="Arial"/>
                <w:sz w:val="16"/>
              </w:rPr>
              <w:t>12.50% of leads reached the final tracked outcome.</w:t>
            </w:r>
          </w:p>
        </w:tc>
      </w:tr>
      <w:tr>
        <w:tc>
          <w:tcPr>
            <w:tcW w:type="dxa" w:w="3360"/>
            <w:vAlign w:val="center"/>
            <w:shd w:fill="EAF1F8"/>
          </w:tcPr>
          <w:p>
            <w:pPr>
              <w:spacing w:after="20"/>
            </w:pPr>
            <w:r>
              <w:rPr>
                <w:rFonts w:ascii="Arial" w:hAnsi="Arial"/>
                <w:sz w:val="16"/>
              </w:rPr>
              <w:t>Net follower growth</w:t>
            </w:r>
          </w:p>
        </w:tc>
        <w:tc>
          <w:tcPr>
            <w:tcW w:type="dxa" w:w="3360"/>
            <w:vAlign w:val="center"/>
            <w:shd w:fill="EAF1F8"/>
          </w:tcPr>
          <w:p>
            <w:pPr>
              <w:spacing w:after="20"/>
            </w:pPr>
            <w:r>
              <w:rPr>
                <w:rFonts w:ascii="Arial" w:hAnsi="Arial"/>
                <w:sz w:val="16"/>
              </w:rPr>
              <w:t>+420</w:t>
            </w:r>
          </w:p>
        </w:tc>
        <w:tc>
          <w:tcPr>
            <w:tcW w:type="dxa" w:w="3360"/>
            <w:vAlign w:val="center"/>
            <w:shd w:fill="EAF1F8"/>
          </w:tcPr>
          <w:p>
            <w:pPr>
              <w:spacing w:after="20"/>
            </w:pPr>
            <w:r>
              <w:rPr>
                <w:rFonts w:ascii="Arial" w:hAnsi="Arial"/>
                <w:sz w:val="16"/>
              </w:rPr>
              <w:t>Supporting awareness metric, not the main success measure.</w:t>
            </w:r>
          </w:p>
        </w:tc>
      </w:tr>
      <w:tr>
        <w:tc>
          <w:tcPr>
            <w:tcW w:type="dxa" w:w="3360"/>
            <w:vAlign w:val="center"/>
          </w:tcPr>
          <w:p>
            <w:pPr>
              <w:spacing w:after="20"/>
            </w:pPr>
            <w:r>
              <w:rPr>
                <w:rFonts w:ascii="Arial" w:hAnsi="Arial"/>
                <w:sz w:val="16"/>
              </w:rPr>
              <w:t>Illustrative paid-media spend</w:t>
            </w:r>
          </w:p>
        </w:tc>
        <w:tc>
          <w:tcPr>
            <w:tcW w:type="dxa" w:w="3360"/>
            <w:vAlign w:val="center"/>
          </w:tcPr>
          <w:p>
            <w:pPr>
              <w:spacing w:after="20"/>
            </w:pPr>
            <w:r>
              <w:rPr>
                <w:rFonts w:ascii="Arial" w:hAnsi="Arial"/>
                <w:sz w:val="16"/>
              </w:rPr>
              <w:t>₹15,000</w:t>
            </w:r>
          </w:p>
        </w:tc>
        <w:tc>
          <w:tcPr>
            <w:tcW w:type="dxa" w:w="3360"/>
            <w:vAlign w:val="center"/>
          </w:tcPr>
          <w:p>
            <w:pPr>
              <w:spacing w:after="20"/>
            </w:pPr>
            <w:r>
              <w:rPr>
                <w:rFonts w:ascii="Arial" w:hAnsi="Arial"/>
                <w:sz w:val="16"/>
              </w:rPr>
              <w:t>Paid media only; total budget shown in Section 13.</w:t>
            </w:r>
          </w:p>
        </w:tc>
      </w:tr>
      <w:tr>
        <w:tc>
          <w:tcPr>
            <w:tcW w:type="dxa" w:w="3360"/>
            <w:vAlign w:val="center"/>
            <w:shd w:fill="EAF1F8"/>
          </w:tcPr>
          <w:p>
            <w:pPr>
              <w:spacing w:after="20"/>
            </w:pPr>
            <w:r>
              <w:rPr>
                <w:rFonts w:ascii="Arial" w:hAnsi="Arial"/>
                <w:sz w:val="16"/>
              </w:rPr>
              <w:t>Cost per lead</w:t>
            </w:r>
          </w:p>
        </w:tc>
        <w:tc>
          <w:tcPr>
            <w:tcW w:type="dxa" w:w="3360"/>
            <w:vAlign w:val="center"/>
            <w:shd w:fill="EAF1F8"/>
          </w:tcPr>
          <w:p>
            <w:pPr>
              <w:spacing w:after="20"/>
            </w:pPr>
            <w:r>
              <w:rPr>
                <w:rFonts w:ascii="Arial" w:hAnsi="Arial"/>
                <w:sz w:val="16"/>
              </w:rPr>
              <w:t>₹208.33</w:t>
            </w:r>
          </w:p>
        </w:tc>
        <w:tc>
          <w:tcPr>
            <w:tcW w:type="dxa" w:w="3360"/>
            <w:vAlign w:val="center"/>
            <w:shd w:fill="EAF1F8"/>
          </w:tcPr>
          <w:p>
            <w:pPr>
              <w:spacing w:after="20"/>
            </w:pPr>
            <w:r>
              <w:rPr>
                <w:rFonts w:ascii="Arial" w:hAnsi="Arial"/>
                <w:sz w:val="16"/>
              </w:rPr>
              <w:t>₹15,000 ÷ 72; simplified blended estimate.</w:t>
            </w:r>
          </w:p>
        </w:tc>
      </w:tr>
    </w:tbl>
    <w:p/>
    <w:p>
      <w:r>
        <w:t>The cost-per-lead figure assumes all 72 leads were associated with the ₹15,000 media spend for simplicity. In a real report, organic and paid leads should be separated and tracked independently.</w:t>
      </w:r>
    </w:p>
    <w:p>
      <w:pPr>
        <w:pStyle w:val="Heading1"/>
      </w:pPr>
      <w:r>
        <w:t>5. Content-Type Performance Analysis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7365D"/>
          </w:tcPr>
          <w:p>
            <w:r>
              <w:rPr>
                <w:b/>
                <w:color w:val="FFFFFF"/>
                <w:sz w:val="16"/>
              </w:rPr>
              <w:t>Content type</w:t>
            </w:r>
          </w:p>
        </w:tc>
        <w:tc>
          <w:tcPr>
            <w:tcW w:type="dxa" w:w="1680"/>
            <w:shd w:fill="17365D"/>
          </w:tcPr>
          <w:p>
            <w:r>
              <w:rPr>
                <w:b/>
                <w:color w:val="FFFFFF"/>
                <w:sz w:val="16"/>
              </w:rPr>
              <w:t>Quantity</w:t>
            </w:r>
          </w:p>
        </w:tc>
        <w:tc>
          <w:tcPr>
            <w:tcW w:type="dxa" w:w="1680"/>
            <w:shd w:fill="17365D"/>
          </w:tcPr>
          <w:p>
            <w:r>
              <w:rPr>
                <w:b/>
                <w:color w:val="FFFFFF"/>
                <w:sz w:val="16"/>
              </w:rPr>
              <w:t>Reach</w:t>
            </w:r>
          </w:p>
        </w:tc>
        <w:tc>
          <w:tcPr>
            <w:tcW w:type="dxa" w:w="1680"/>
            <w:shd w:fill="17365D"/>
          </w:tcPr>
          <w:p>
            <w:r>
              <w:rPr>
                <w:b/>
                <w:color w:val="FFFFFF"/>
                <w:sz w:val="16"/>
              </w:rPr>
              <w:t>Engagements</w:t>
            </w:r>
          </w:p>
        </w:tc>
        <w:tc>
          <w:tcPr>
            <w:tcW w:type="dxa" w:w="1680"/>
            <w:shd w:fill="17365D"/>
          </w:tcPr>
          <w:p>
            <w:r>
              <w:rPr>
                <w:b/>
                <w:color w:val="FFFFFF"/>
                <w:sz w:val="16"/>
              </w:rPr>
              <w:t>Engagement rate</w:t>
            </w:r>
          </w:p>
        </w:tc>
        <w:tc>
          <w:tcPr>
            <w:tcW w:type="dxa" w:w="1680"/>
            <w:shd w:fill="17365D"/>
          </w:tcPr>
          <w:p>
            <w:r>
              <w:rPr>
                <w:b/>
                <w:color w:val="FFFFFF"/>
                <w:sz w:val="16"/>
              </w:rPr>
              <w:t>Main observation</w:t>
            </w:r>
          </w:p>
        </w:tc>
      </w:tr>
      <w:tr>
        <w:tc>
          <w:tcPr>
            <w:tcW w:type="dxa" w:w="1680"/>
            <w:vAlign w:val="center"/>
          </w:tcPr>
          <w:p>
            <w:pPr>
              <w:spacing w:after="20"/>
            </w:pPr>
            <w:r>
              <w:rPr>
                <w:rFonts w:ascii="Arial" w:hAnsi="Arial"/>
                <w:sz w:val="16"/>
              </w:rPr>
              <w:t>Reels</w:t>
            </w:r>
          </w:p>
        </w:tc>
        <w:tc>
          <w:tcPr>
            <w:tcW w:type="dxa" w:w="1680"/>
            <w:vAlign w:val="center"/>
          </w:tcPr>
          <w:p>
            <w:pPr>
              <w:spacing w:after="20"/>
            </w:pPr>
            <w:r>
              <w:rPr>
                <w:rFonts w:ascii="Arial" w:hAnsi="Arial"/>
                <w:sz w:val="16"/>
              </w:rPr>
              <w:t>8</w:t>
            </w:r>
          </w:p>
        </w:tc>
        <w:tc>
          <w:tcPr>
            <w:tcW w:type="dxa" w:w="1680"/>
            <w:vAlign w:val="center"/>
          </w:tcPr>
          <w:p>
            <w:pPr>
              <w:spacing w:after="20"/>
            </w:pPr>
            <w:r>
              <w:rPr>
                <w:rFonts w:ascii="Arial" w:hAnsi="Arial"/>
                <w:sz w:val="16"/>
              </w:rPr>
              <w:t>30,000</w:t>
            </w:r>
          </w:p>
        </w:tc>
        <w:tc>
          <w:tcPr>
            <w:tcW w:type="dxa" w:w="1680"/>
            <w:vAlign w:val="center"/>
          </w:tcPr>
          <w:p>
            <w:pPr>
              <w:spacing w:after="20"/>
            </w:pPr>
            <w:r>
              <w:rPr>
                <w:rFonts w:ascii="Arial" w:hAnsi="Arial"/>
                <w:sz w:val="16"/>
              </w:rPr>
              <w:t>1,500</w:t>
            </w:r>
          </w:p>
        </w:tc>
        <w:tc>
          <w:tcPr>
            <w:tcW w:type="dxa" w:w="1680"/>
            <w:vAlign w:val="center"/>
          </w:tcPr>
          <w:p>
            <w:pPr>
              <w:spacing w:after="20"/>
            </w:pPr>
            <w:r>
              <w:rPr>
                <w:rFonts w:ascii="Arial" w:hAnsi="Arial"/>
                <w:sz w:val="16"/>
              </w:rPr>
              <w:t>5.00%</w:t>
            </w:r>
          </w:p>
        </w:tc>
        <w:tc>
          <w:tcPr>
            <w:tcW w:type="dxa" w:w="1680"/>
            <w:vAlign w:val="center"/>
          </w:tcPr>
          <w:p>
            <w:pPr>
              <w:spacing w:after="20"/>
            </w:pPr>
            <w:r>
              <w:rPr>
                <w:rFonts w:ascii="Arial" w:hAnsi="Arial"/>
                <w:sz w:val="16"/>
              </w:rPr>
              <w:t>Largest reach; quick demonstrations and strong hooks supported discovery.</w:t>
            </w:r>
          </w:p>
        </w:tc>
      </w:tr>
      <w:tr>
        <w:tc>
          <w:tcPr>
            <w:tcW w:type="dxa" w:w="1680"/>
            <w:vAlign w:val="center"/>
            <w:shd w:fill="EAF1F8"/>
          </w:tcPr>
          <w:p>
            <w:pPr>
              <w:spacing w:after="20"/>
            </w:pPr>
            <w:r>
              <w:rPr>
                <w:rFonts w:ascii="Arial" w:hAnsi="Arial"/>
                <w:sz w:val="16"/>
              </w:rPr>
              <w:t>Carousels</w:t>
            </w:r>
          </w:p>
        </w:tc>
        <w:tc>
          <w:tcPr>
            <w:tcW w:type="dxa" w:w="1680"/>
            <w:vAlign w:val="center"/>
            <w:shd w:fill="EAF1F8"/>
          </w:tcPr>
          <w:p>
            <w:pPr>
              <w:spacing w:after="20"/>
            </w:pPr>
            <w:r>
              <w:rPr>
                <w:rFonts w:ascii="Arial" w:hAnsi="Arial"/>
                <w:sz w:val="16"/>
              </w:rPr>
              <w:t>6</w:t>
            </w:r>
          </w:p>
        </w:tc>
        <w:tc>
          <w:tcPr>
            <w:tcW w:type="dxa" w:w="1680"/>
            <w:vAlign w:val="center"/>
            <w:shd w:fill="EAF1F8"/>
          </w:tcPr>
          <w:p>
            <w:pPr>
              <w:spacing w:after="20"/>
            </w:pPr>
            <w:r>
              <w:rPr>
                <w:rFonts w:ascii="Arial" w:hAnsi="Arial"/>
                <w:sz w:val="16"/>
              </w:rPr>
              <w:t>10,000</w:t>
            </w:r>
          </w:p>
        </w:tc>
        <w:tc>
          <w:tcPr>
            <w:tcW w:type="dxa" w:w="1680"/>
            <w:vAlign w:val="center"/>
            <w:shd w:fill="EAF1F8"/>
          </w:tcPr>
          <w:p>
            <w:pPr>
              <w:spacing w:after="20"/>
            </w:pPr>
            <w:r>
              <w:rPr>
                <w:rFonts w:ascii="Arial" w:hAnsi="Arial"/>
                <w:sz w:val="16"/>
              </w:rPr>
              <w:t>1,000</w:t>
            </w:r>
          </w:p>
        </w:tc>
        <w:tc>
          <w:tcPr>
            <w:tcW w:type="dxa" w:w="1680"/>
            <w:vAlign w:val="center"/>
            <w:shd w:fill="EAF1F8"/>
          </w:tcPr>
          <w:p>
            <w:pPr>
              <w:spacing w:after="20"/>
            </w:pPr>
            <w:r>
              <w:rPr>
                <w:rFonts w:ascii="Arial" w:hAnsi="Arial"/>
                <w:sz w:val="16"/>
              </w:rPr>
              <w:t>10.00%</w:t>
            </w:r>
          </w:p>
        </w:tc>
        <w:tc>
          <w:tcPr>
            <w:tcW w:type="dxa" w:w="1680"/>
            <w:vAlign w:val="center"/>
            <w:shd w:fill="EAF1F8"/>
          </w:tcPr>
          <w:p>
            <w:pPr>
              <w:spacing w:after="20"/>
            </w:pPr>
            <w:r>
              <w:rPr>
                <w:rFonts w:ascii="Arial" w:hAnsi="Arial"/>
                <w:sz w:val="16"/>
              </w:rPr>
              <w:t>Best engagement rate; step-by-step guides encouraged saves and shares.</w:t>
            </w:r>
          </w:p>
        </w:tc>
      </w:tr>
      <w:tr>
        <w:tc>
          <w:tcPr>
            <w:tcW w:type="dxa" w:w="1680"/>
            <w:vAlign w:val="center"/>
          </w:tcPr>
          <w:p>
            <w:pPr>
              <w:spacing w:after="20"/>
            </w:pPr>
            <w:r>
              <w:rPr>
                <w:rFonts w:ascii="Arial" w:hAnsi="Arial"/>
                <w:sz w:val="16"/>
              </w:rPr>
              <w:t>Static posts</w:t>
            </w:r>
          </w:p>
        </w:tc>
        <w:tc>
          <w:tcPr>
            <w:tcW w:type="dxa" w:w="1680"/>
            <w:vAlign w:val="center"/>
          </w:tcPr>
          <w:p>
            <w:pPr>
              <w:spacing w:after="20"/>
            </w:pPr>
            <w:r>
              <w:rPr>
                <w:rFonts w:ascii="Arial" w:hAnsi="Arial"/>
                <w:sz w:val="16"/>
              </w:rPr>
              <w:t>3</w:t>
            </w:r>
          </w:p>
        </w:tc>
        <w:tc>
          <w:tcPr>
            <w:tcW w:type="dxa" w:w="1680"/>
            <w:vAlign w:val="center"/>
          </w:tcPr>
          <w:p>
            <w:pPr>
              <w:spacing w:after="20"/>
            </w:pPr>
            <w:r>
              <w:rPr>
                <w:rFonts w:ascii="Arial" w:hAnsi="Arial"/>
                <w:sz w:val="16"/>
              </w:rPr>
              <w:t>3,000</w:t>
            </w:r>
          </w:p>
        </w:tc>
        <w:tc>
          <w:tcPr>
            <w:tcW w:type="dxa" w:w="1680"/>
            <w:vAlign w:val="center"/>
          </w:tcPr>
          <w:p>
            <w:pPr>
              <w:spacing w:after="20"/>
            </w:pPr>
            <w:r>
              <w:rPr>
                <w:rFonts w:ascii="Arial" w:hAnsi="Arial"/>
                <w:sz w:val="16"/>
              </w:rPr>
              <w:t>120</w:t>
            </w:r>
          </w:p>
        </w:tc>
        <w:tc>
          <w:tcPr>
            <w:tcW w:type="dxa" w:w="1680"/>
            <w:vAlign w:val="center"/>
          </w:tcPr>
          <w:p>
            <w:pPr>
              <w:spacing w:after="20"/>
            </w:pPr>
            <w:r>
              <w:rPr>
                <w:rFonts w:ascii="Arial" w:hAnsi="Arial"/>
                <w:sz w:val="16"/>
              </w:rPr>
              <w:t>4.00%</w:t>
            </w:r>
          </w:p>
        </w:tc>
        <w:tc>
          <w:tcPr>
            <w:tcW w:type="dxa" w:w="1680"/>
            <w:vAlign w:val="center"/>
          </w:tcPr>
          <w:p>
            <w:pPr>
              <w:spacing w:after="20"/>
            </w:pPr>
            <w:r>
              <w:rPr>
                <w:rFonts w:ascii="Arial" w:hAnsi="Arial"/>
                <w:sz w:val="16"/>
              </w:rPr>
              <w:t>Useful for brand identity but weaker discovery than Reels.</w:t>
            </w:r>
          </w:p>
        </w:tc>
      </w:tr>
      <w:tr>
        <w:tc>
          <w:tcPr>
            <w:tcW w:type="dxa" w:w="1680"/>
            <w:vAlign w:val="center"/>
            <w:shd w:fill="EAF1F8"/>
          </w:tcPr>
          <w:p>
            <w:pPr>
              <w:spacing w:after="20"/>
            </w:pPr>
            <w:r>
              <w:rPr>
                <w:rFonts w:ascii="Arial" w:hAnsi="Arial"/>
                <w:sz w:val="16"/>
              </w:rPr>
              <w:t>Stories</w:t>
            </w:r>
          </w:p>
        </w:tc>
        <w:tc>
          <w:tcPr>
            <w:tcW w:type="dxa" w:w="1680"/>
            <w:vAlign w:val="center"/>
            <w:shd w:fill="EAF1F8"/>
          </w:tcPr>
          <w:p>
            <w:pPr>
              <w:spacing w:after="20"/>
            </w:pPr>
            <w:r>
              <w:rPr>
                <w:rFonts w:ascii="Arial" w:hAnsi="Arial"/>
                <w:sz w:val="16"/>
              </w:rPr>
              <w:t>Daily sequences</w:t>
            </w:r>
          </w:p>
        </w:tc>
        <w:tc>
          <w:tcPr>
            <w:tcW w:type="dxa" w:w="1680"/>
            <w:vAlign w:val="center"/>
            <w:shd w:fill="EAF1F8"/>
          </w:tcPr>
          <w:p>
            <w:pPr>
              <w:spacing w:after="20"/>
            </w:pPr>
            <w:r>
              <w:rPr>
                <w:rFonts w:ascii="Arial" w:hAnsi="Arial"/>
                <w:sz w:val="16"/>
              </w:rPr>
              <w:t>5,000</w:t>
            </w:r>
          </w:p>
        </w:tc>
        <w:tc>
          <w:tcPr>
            <w:tcW w:type="dxa" w:w="1680"/>
            <w:vAlign w:val="center"/>
            <w:shd w:fill="EAF1F8"/>
          </w:tcPr>
          <w:p>
            <w:pPr>
              <w:spacing w:after="20"/>
            </w:pPr>
            <w:r>
              <w:rPr>
                <w:rFonts w:ascii="Arial" w:hAnsi="Arial"/>
                <w:sz w:val="16"/>
              </w:rPr>
              <w:t>420</w:t>
            </w:r>
          </w:p>
        </w:tc>
        <w:tc>
          <w:tcPr>
            <w:tcW w:type="dxa" w:w="1680"/>
            <w:vAlign w:val="center"/>
            <w:shd w:fill="EAF1F8"/>
          </w:tcPr>
          <w:p>
            <w:pPr>
              <w:spacing w:after="20"/>
            </w:pPr>
            <w:r>
              <w:rPr>
                <w:rFonts w:ascii="Arial" w:hAnsi="Arial"/>
                <w:sz w:val="16"/>
              </w:rPr>
              <w:t>8.40%*</w:t>
            </w:r>
          </w:p>
        </w:tc>
        <w:tc>
          <w:tcPr>
            <w:tcW w:type="dxa" w:w="1680"/>
            <w:vAlign w:val="center"/>
            <w:shd w:fill="EAF1F8"/>
          </w:tcPr>
          <w:p>
            <w:pPr>
              <w:spacing w:after="20"/>
            </w:pPr>
            <w:r>
              <w:rPr>
                <w:rFonts w:ascii="Arial" w:hAnsi="Arial"/>
                <w:sz w:val="16"/>
              </w:rPr>
              <w:t>Polls and question stickers supported two-way interaction.</w:t>
            </w:r>
          </w:p>
        </w:tc>
      </w:tr>
      <w:tr>
        <w:tc>
          <w:tcPr>
            <w:tcW w:type="dxa" w:w="1680"/>
            <w:vAlign w:val="center"/>
          </w:tcPr>
          <w:p>
            <w:pPr>
              <w:spacing w:after="20"/>
            </w:pPr>
            <w:r>
              <w:rPr>
                <w:rFonts w:ascii="Arial" w:hAnsi="Arial"/>
                <w:sz w:val="16"/>
              </w:rPr>
              <w:t>Live / collaboration</w:t>
            </w:r>
          </w:p>
        </w:tc>
        <w:tc>
          <w:tcPr>
            <w:tcW w:type="dxa" w:w="1680"/>
            <w:vAlign w:val="center"/>
          </w:tcPr>
          <w:p>
            <w:pPr>
              <w:spacing w:after="20"/>
            </w:pPr>
            <w:r>
              <w:rPr>
                <w:rFonts w:ascii="Arial" w:hAnsi="Arial"/>
                <w:sz w:val="16"/>
              </w:rPr>
              <w:t>3 items</w:t>
            </w:r>
          </w:p>
        </w:tc>
        <w:tc>
          <w:tcPr>
            <w:tcW w:type="dxa" w:w="1680"/>
            <w:vAlign w:val="center"/>
          </w:tcPr>
          <w:p>
            <w:pPr>
              <w:spacing w:after="20"/>
            </w:pPr>
            <w:r>
              <w:rPr>
                <w:rFonts w:ascii="Arial" w:hAnsi="Arial"/>
                <w:sz w:val="16"/>
              </w:rPr>
              <w:t>Not deduplicated</w:t>
            </w:r>
          </w:p>
        </w:tc>
        <w:tc>
          <w:tcPr>
            <w:tcW w:type="dxa" w:w="1680"/>
            <w:vAlign w:val="center"/>
          </w:tcPr>
          <w:p>
            <w:pPr>
              <w:spacing w:after="20"/>
            </w:pPr>
            <w:r>
              <w:rPr>
                <w:rFonts w:ascii="Arial" w:hAnsi="Arial"/>
                <w:sz w:val="16"/>
              </w:rPr>
              <w:t>Not directly comparable</w:t>
            </w:r>
          </w:p>
        </w:tc>
        <w:tc>
          <w:tcPr>
            <w:tcW w:type="dxa" w:w="1680"/>
            <w:vAlign w:val="center"/>
          </w:tcPr>
          <w:p>
            <w:pPr>
              <w:spacing w:after="20"/>
            </w:pPr>
            <w:r>
              <w:rPr>
                <w:rFonts w:ascii="Arial" w:hAnsi="Arial"/>
                <w:sz w:val="16"/>
              </w:rPr>
              <w:t>N/A</w:t>
            </w:r>
          </w:p>
        </w:tc>
        <w:tc>
          <w:tcPr>
            <w:tcW w:type="dxa" w:w="1680"/>
            <w:vAlign w:val="center"/>
          </w:tcPr>
          <w:p>
            <w:pPr>
              <w:spacing w:after="20"/>
            </w:pPr>
            <w:r>
              <w:rPr>
                <w:rFonts w:ascii="Arial" w:hAnsi="Arial"/>
                <w:sz w:val="16"/>
              </w:rPr>
              <w:t>Treat as qualitative learning; overlapping reach is not added to totals.</w:t>
            </w:r>
          </w:p>
        </w:tc>
      </w:tr>
    </w:tbl>
    <w:p/>
    <w:p>
      <w:r>
        <w:t>*Story engagement is an illustrative ratio based on estimated Story reach and interactions; it is not directly comparable with feed engagement. Content-level reach may overlap and should not be summed to estimate unique account reach.</w:t>
      </w:r>
    </w:p>
    <w:p>
      <w:pPr>
        <w:pStyle w:val="Heading1"/>
      </w:pPr>
      <w:r>
        <w:t>6. What Worked Well</w:t>
      </w:r>
    </w:p>
    <w:p>
      <w:pPr>
        <w:pStyle w:val="ListBullet"/>
      </w:pPr>
      <w:r>
        <w:t>Hook-led Reels: videos such as “3 AI prompts that save a creator 30 minutes” attracted the largest reach because the benefit was easy to understand quickly.</w:t>
      </w:r>
    </w:p>
    <w:p>
      <w:pPr>
        <w:pStyle w:val="ListBullet"/>
      </w:pPr>
      <w:r>
        <w:t>Educational carousels: checklists, prompt examples, and before-and-after workflows received more saves and shares, suggesting practical reference value.</w:t>
      </w:r>
    </w:p>
    <w:p>
      <w:pPr>
        <w:pStyle w:val="ListBullet"/>
      </w:pPr>
      <w:r>
        <w:t>Interactive Stories: polls, quizzes, and question stickers offered low-effort participation and provided ideas for future content.</w:t>
      </w:r>
    </w:p>
    <w:p>
      <w:pPr>
        <w:pStyle w:val="ListBullet"/>
      </w:pPr>
      <w:r>
        <w:t>Specific calls to action: asking viewers to save a checklist, comment with a challenge, or visit the profile gave audiences a clear next step.</w:t>
      </w:r>
    </w:p>
    <w:p>
      <w:pPr>
        <w:pStyle w:val="ListBullet"/>
      </w:pPr>
      <w:r>
        <w:t>Consistent visual identity: repeated typography, cover style, and colors helped make the faceless brand recognizable.</w:t>
      </w:r>
    </w:p>
    <w:p>
      <w:pPr>
        <w:pStyle w:val="Heading1"/>
      </w:pPr>
      <w:r>
        <w:t>7. Areas That Need Improvement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r>
              <w:rPr>
                <w:b/>
                <w:color w:val="FFFFFF"/>
                <w:sz w:val="16"/>
              </w:rPr>
              <w:t>Issue</w:t>
            </w:r>
          </w:p>
        </w:tc>
        <w:tc>
          <w:tcPr>
            <w:tcW w:type="dxa" w:w="3360"/>
            <w:shd w:fill="17365D"/>
          </w:tcPr>
          <w:p>
            <w:r>
              <w:rPr>
                <w:b/>
                <w:color w:val="FFFFFF"/>
                <w:sz w:val="16"/>
              </w:rPr>
              <w:t>Evidence from simulation</w:t>
            </w:r>
          </w:p>
        </w:tc>
        <w:tc>
          <w:tcPr>
            <w:tcW w:type="dxa" w:w="3360"/>
            <w:shd w:fill="17365D"/>
          </w:tcPr>
          <w:p>
            <w:r>
              <w:rPr>
                <w:b/>
                <w:color w:val="FFFFFF"/>
                <w:sz w:val="16"/>
              </w:rPr>
              <w:t>Recommended response</w:t>
            </w:r>
          </w:p>
        </w:tc>
      </w:tr>
      <w:tr>
        <w:tc>
          <w:tcPr>
            <w:tcW w:type="dxa" w:w="3360"/>
            <w:vAlign w:val="center"/>
          </w:tcPr>
          <w:p>
            <w:pPr>
              <w:spacing w:after="20"/>
            </w:pPr>
            <w:r>
              <w:rPr>
                <w:rFonts w:ascii="Arial" w:hAnsi="Arial"/>
                <w:sz w:val="16"/>
              </w:rPr>
              <w:t>Attention does not always become traffic</w:t>
            </w:r>
          </w:p>
        </w:tc>
        <w:tc>
          <w:tcPr>
            <w:tcW w:type="dxa" w:w="3360"/>
            <w:vAlign w:val="center"/>
          </w:tcPr>
          <w:p>
            <w:pPr>
              <w:spacing w:after="20"/>
            </w:pPr>
            <w:r>
              <w:rPr>
                <w:rFonts w:ascii="Arial" w:hAnsi="Arial"/>
                <w:sz w:val="16"/>
              </w:rPr>
              <w:t>48,000 reached; 1,140 profile visits.</w:t>
            </w:r>
          </w:p>
        </w:tc>
        <w:tc>
          <w:tcPr>
            <w:tcW w:type="dxa" w:w="3360"/>
            <w:vAlign w:val="center"/>
          </w:tcPr>
          <w:p>
            <w:pPr>
              <w:spacing w:after="20"/>
            </w:pPr>
            <w:r>
              <w:rPr>
                <w:rFonts w:ascii="Arial" w:hAnsi="Arial"/>
                <w:sz w:val="16"/>
              </w:rPr>
              <w:t>Improve bio and pinned “Start Here” posts; use clearer profile-visit CTAs.</w:t>
            </w:r>
          </w:p>
        </w:tc>
      </w:tr>
      <w:tr>
        <w:tc>
          <w:tcPr>
            <w:tcW w:type="dxa" w:w="3360"/>
            <w:vAlign w:val="center"/>
            <w:shd w:fill="EAF1F8"/>
          </w:tcPr>
          <w:p>
            <w:pPr>
              <w:spacing w:after="20"/>
            </w:pPr>
            <w:r>
              <w:rPr>
                <w:rFonts w:ascii="Arial" w:hAnsi="Arial"/>
                <w:sz w:val="16"/>
              </w:rPr>
              <w:t>Landing-page drop-off</w:t>
            </w:r>
          </w:p>
        </w:tc>
        <w:tc>
          <w:tcPr>
            <w:tcW w:type="dxa" w:w="3360"/>
            <w:vAlign w:val="center"/>
            <w:shd w:fill="EAF1F8"/>
          </w:tcPr>
          <w:p>
            <w:pPr>
              <w:spacing w:after="20"/>
            </w:pPr>
            <w:r>
              <w:rPr>
                <w:rFonts w:ascii="Arial" w:hAnsi="Arial"/>
                <w:sz w:val="16"/>
              </w:rPr>
              <w:t>360 link clicks generated 72 leads.</w:t>
            </w:r>
          </w:p>
        </w:tc>
        <w:tc>
          <w:tcPr>
            <w:tcW w:type="dxa" w:w="3360"/>
            <w:vAlign w:val="center"/>
            <w:shd w:fill="EAF1F8"/>
          </w:tcPr>
          <w:p>
            <w:pPr>
              <w:spacing w:after="20"/>
            </w:pPr>
            <w:r>
              <w:rPr>
                <w:rFonts w:ascii="Arial" w:hAnsi="Arial"/>
                <w:sz w:val="16"/>
              </w:rPr>
              <w:t>Improve mobile layout, message match, loading speed, and form simplicity.</w:t>
            </w:r>
          </w:p>
        </w:tc>
      </w:tr>
      <w:tr>
        <w:tc>
          <w:tcPr>
            <w:tcW w:type="dxa" w:w="3360"/>
            <w:vAlign w:val="center"/>
          </w:tcPr>
          <w:p>
            <w:pPr>
              <w:spacing w:after="20"/>
            </w:pPr>
            <w:r>
              <w:rPr>
                <w:rFonts w:ascii="Arial" w:hAnsi="Arial"/>
                <w:sz w:val="16"/>
              </w:rPr>
              <w:t>Low final-outcome volume</w:t>
            </w:r>
          </w:p>
        </w:tc>
        <w:tc>
          <w:tcPr>
            <w:tcW w:type="dxa" w:w="3360"/>
            <w:vAlign w:val="center"/>
          </w:tcPr>
          <w:p>
            <w:pPr>
              <w:spacing w:after="20"/>
            </w:pPr>
            <w:r>
              <w:rPr>
                <w:rFonts w:ascii="Arial" w:hAnsi="Arial"/>
                <w:sz w:val="16"/>
              </w:rPr>
              <w:t>9 attributed purchases or paid enquiries.</w:t>
            </w:r>
          </w:p>
        </w:tc>
        <w:tc>
          <w:tcPr>
            <w:tcW w:type="dxa" w:w="3360"/>
            <w:vAlign w:val="center"/>
          </w:tcPr>
          <w:p>
            <w:pPr>
              <w:spacing w:after="20"/>
            </w:pPr>
            <w:r>
              <w:rPr>
                <w:rFonts w:ascii="Arial" w:hAnsi="Arial"/>
                <w:sz w:val="16"/>
              </w:rPr>
              <w:t>Clarify the offer, show examples, follow up with leads, and test retargeting where eligible.</w:t>
            </w:r>
          </w:p>
        </w:tc>
      </w:tr>
      <w:tr>
        <w:tc>
          <w:tcPr>
            <w:tcW w:type="dxa" w:w="3360"/>
            <w:vAlign w:val="center"/>
            <w:shd w:fill="EAF1F8"/>
          </w:tcPr>
          <w:p>
            <w:pPr>
              <w:spacing w:after="20"/>
            </w:pPr>
            <w:r>
              <w:rPr>
                <w:rFonts w:ascii="Arial" w:hAnsi="Arial"/>
                <w:sz w:val="16"/>
              </w:rPr>
              <w:t>Static content underperformed</w:t>
            </w:r>
          </w:p>
        </w:tc>
        <w:tc>
          <w:tcPr>
            <w:tcW w:type="dxa" w:w="3360"/>
            <w:vAlign w:val="center"/>
            <w:shd w:fill="EAF1F8"/>
          </w:tcPr>
          <w:p>
            <w:pPr>
              <w:spacing w:after="20"/>
            </w:pPr>
            <w:r>
              <w:rPr>
                <w:rFonts w:ascii="Arial" w:hAnsi="Arial"/>
                <w:sz w:val="16"/>
              </w:rPr>
              <w:t>4.00% engagement rate.</w:t>
            </w:r>
          </w:p>
        </w:tc>
        <w:tc>
          <w:tcPr>
            <w:tcW w:type="dxa" w:w="3360"/>
            <w:vAlign w:val="center"/>
            <w:shd w:fill="EAF1F8"/>
          </w:tcPr>
          <w:p>
            <w:pPr>
              <w:spacing w:after="20"/>
            </w:pPr>
            <w:r>
              <w:rPr>
                <w:rFonts w:ascii="Arial" w:hAnsi="Arial"/>
                <w:sz w:val="16"/>
              </w:rPr>
              <w:t>Use static posts mainly for testimonials, announcements, and brand proof.</w:t>
            </w:r>
          </w:p>
        </w:tc>
      </w:tr>
      <w:tr>
        <w:tc>
          <w:tcPr>
            <w:tcW w:type="dxa" w:w="3360"/>
            <w:vAlign w:val="center"/>
          </w:tcPr>
          <w:p>
            <w:pPr>
              <w:spacing w:after="20"/>
            </w:pPr>
            <w:r>
              <w:rPr>
                <w:rFonts w:ascii="Arial" w:hAnsi="Arial"/>
                <w:sz w:val="16"/>
              </w:rPr>
              <w:t>Attribution limitations</w:t>
            </w:r>
          </w:p>
        </w:tc>
        <w:tc>
          <w:tcPr>
            <w:tcW w:type="dxa" w:w="3360"/>
            <w:vAlign w:val="center"/>
          </w:tcPr>
          <w:p>
            <w:pPr>
              <w:spacing w:after="20"/>
            </w:pPr>
            <w:r>
              <w:rPr>
                <w:rFonts w:ascii="Arial" w:hAnsi="Arial"/>
                <w:sz w:val="16"/>
              </w:rPr>
              <w:t>Paid and organic outcomes are not separated.</w:t>
            </w:r>
          </w:p>
        </w:tc>
        <w:tc>
          <w:tcPr>
            <w:tcW w:type="dxa" w:w="3360"/>
            <w:vAlign w:val="center"/>
          </w:tcPr>
          <w:p>
            <w:pPr>
              <w:spacing w:after="20"/>
            </w:pPr>
            <w:r>
              <w:rPr>
                <w:rFonts w:ascii="Arial" w:hAnsi="Arial"/>
                <w:sz w:val="16"/>
              </w:rPr>
              <w:t>Use UTM links, campaign naming conventions, and a weekly tracking sheet.</w:t>
            </w:r>
          </w:p>
        </w:tc>
      </w:tr>
      <w:tr>
        <w:tc>
          <w:tcPr>
            <w:tcW w:type="dxa" w:w="3360"/>
            <w:vAlign w:val="center"/>
            <w:shd w:fill="EAF1F8"/>
          </w:tcPr>
          <w:p>
            <w:pPr>
              <w:spacing w:after="20"/>
            </w:pPr>
            <w:r>
              <w:rPr>
                <w:rFonts w:ascii="Arial" w:hAnsi="Arial"/>
                <w:sz w:val="16"/>
              </w:rPr>
              <w:t>Consistency and fatigue risk</w:t>
            </w:r>
          </w:p>
        </w:tc>
        <w:tc>
          <w:tcPr>
            <w:tcW w:type="dxa" w:w="3360"/>
            <w:vAlign w:val="center"/>
            <w:shd w:fill="EAF1F8"/>
          </w:tcPr>
          <w:p>
            <w:pPr>
              <w:spacing w:after="20"/>
            </w:pPr>
            <w:r>
              <w:rPr>
                <w:rFonts w:ascii="Arial" w:hAnsi="Arial"/>
                <w:sz w:val="16"/>
              </w:rPr>
              <w:t>20 feed items in one month.</w:t>
            </w:r>
          </w:p>
        </w:tc>
        <w:tc>
          <w:tcPr>
            <w:tcW w:type="dxa" w:w="3360"/>
            <w:vAlign w:val="center"/>
            <w:shd w:fill="EAF1F8"/>
          </w:tcPr>
          <w:p>
            <w:pPr>
              <w:spacing w:after="20"/>
            </w:pPr>
            <w:r>
              <w:rPr>
                <w:rFonts w:ascii="Arial" w:hAnsi="Arial"/>
                <w:sz w:val="16"/>
              </w:rPr>
              <w:t>Batch-create assets and repurpose strong topics without sacrificing quality.</w:t>
            </w:r>
          </w:p>
        </w:tc>
      </w:tr>
    </w:tbl>
    <w:p/>
    <w:p>
      <w:pPr>
        <w:pStyle w:val="Heading1"/>
      </w:pPr>
      <w:r>
        <w:t>8. Conversion Funnel and Insights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65D"/>
          </w:tcPr>
          <w:p>
            <w:r>
              <w:rPr>
                <w:b/>
                <w:color w:val="FFFFFF"/>
                <w:sz w:val="16"/>
              </w:rPr>
              <w:t>Funnel stage</w:t>
            </w:r>
          </w:p>
        </w:tc>
        <w:tc>
          <w:tcPr>
            <w:tcW w:type="dxa" w:w="2520"/>
            <w:shd w:fill="17365D"/>
          </w:tcPr>
          <w:p>
            <w:r>
              <w:rPr>
                <w:b/>
                <w:color w:val="FFFFFF"/>
                <w:sz w:val="16"/>
              </w:rPr>
              <w:t>Volume</w:t>
            </w:r>
          </w:p>
        </w:tc>
        <w:tc>
          <w:tcPr>
            <w:tcW w:type="dxa" w:w="2520"/>
            <w:shd w:fill="17365D"/>
          </w:tcPr>
          <w:p>
            <w:r>
              <w:rPr>
                <w:b/>
                <w:color w:val="FFFFFF"/>
                <w:sz w:val="16"/>
              </w:rPr>
              <w:t>Rate from previous stage</w:t>
            </w:r>
          </w:p>
        </w:tc>
        <w:tc>
          <w:tcPr>
            <w:tcW w:type="dxa" w:w="2520"/>
            <w:shd w:fill="17365D"/>
          </w:tcPr>
          <w:p>
            <w:r>
              <w:rPr>
                <w:b/>
                <w:color w:val="FFFFFF"/>
                <w:sz w:val="16"/>
              </w:rPr>
              <w:t>Insight</w:t>
            </w:r>
          </w:p>
        </w:tc>
      </w:tr>
      <w:tr>
        <w:tc>
          <w:tcPr>
            <w:tcW w:type="dxa" w:w="2520"/>
            <w:vAlign w:val="center"/>
          </w:tcPr>
          <w:p>
            <w:pPr>
              <w:spacing w:after="20"/>
            </w:pPr>
            <w:r>
              <w:rPr>
                <w:rFonts w:ascii="Arial" w:hAnsi="Arial"/>
                <w:sz w:val="16"/>
              </w:rPr>
              <w:t>Reach</w:t>
            </w:r>
          </w:p>
        </w:tc>
        <w:tc>
          <w:tcPr>
            <w:tcW w:type="dxa" w:w="2520"/>
            <w:vAlign w:val="center"/>
          </w:tcPr>
          <w:p>
            <w:pPr>
              <w:spacing w:after="20"/>
            </w:pPr>
            <w:r>
              <w:rPr>
                <w:rFonts w:ascii="Arial" w:hAnsi="Arial"/>
                <w:sz w:val="16"/>
              </w:rPr>
              <w:t>48,000</w:t>
            </w:r>
          </w:p>
        </w:tc>
        <w:tc>
          <w:tcPr>
            <w:tcW w:type="dxa" w:w="2520"/>
            <w:vAlign w:val="center"/>
          </w:tcPr>
          <w:p>
            <w:pPr>
              <w:spacing w:after="20"/>
            </w:pPr>
            <w:r>
              <w:rPr>
                <w:rFonts w:ascii="Arial" w:hAnsi="Arial"/>
                <w:sz w:val="16"/>
              </w:rPr>
              <w:t>—</w:t>
            </w:r>
          </w:p>
        </w:tc>
        <w:tc>
          <w:tcPr>
            <w:tcW w:type="dxa" w:w="2520"/>
            <w:vAlign w:val="center"/>
          </w:tcPr>
          <w:p>
            <w:pPr>
              <w:spacing w:after="20"/>
            </w:pPr>
            <w:r>
              <w:rPr>
                <w:rFonts w:ascii="Arial" w:hAnsi="Arial"/>
                <w:sz w:val="16"/>
              </w:rPr>
              <w:t>Awareness is the strongest part of the simulated funnel.</w:t>
            </w:r>
          </w:p>
        </w:tc>
      </w:tr>
      <w:tr>
        <w:tc>
          <w:tcPr>
            <w:tcW w:type="dxa" w:w="2520"/>
            <w:vAlign w:val="center"/>
            <w:shd w:fill="EAF1F8"/>
          </w:tcPr>
          <w:p>
            <w:pPr>
              <w:spacing w:after="20"/>
            </w:pPr>
            <w:r>
              <w:rPr>
                <w:rFonts w:ascii="Arial" w:hAnsi="Arial"/>
                <w:sz w:val="16"/>
              </w:rPr>
              <w:t>Profile visits</w:t>
            </w:r>
          </w:p>
        </w:tc>
        <w:tc>
          <w:tcPr>
            <w:tcW w:type="dxa" w:w="2520"/>
            <w:vAlign w:val="center"/>
            <w:shd w:fill="EAF1F8"/>
          </w:tcPr>
          <w:p>
            <w:pPr>
              <w:spacing w:after="20"/>
            </w:pPr>
            <w:r>
              <w:rPr>
                <w:rFonts w:ascii="Arial" w:hAnsi="Arial"/>
                <w:sz w:val="16"/>
              </w:rPr>
              <w:t>1,140</w:t>
            </w:r>
          </w:p>
        </w:tc>
        <w:tc>
          <w:tcPr>
            <w:tcW w:type="dxa" w:w="2520"/>
            <w:vAlign w:val="center"/>
            <w:shd w:fill="EAF1F8"/>
          </w:tcPr>
          <w:p>
            <w:pPr>
              <w:spacing w:after="20"/>
            </w:pPr>
            <w:r>
              <w:rPr>
                <w:rFonts w:ascii="Arial" w:hAnsi="Arial"/>
                <w:sz w:val="16"/>
              </w:rPr>
              <w:t>2.38% of reach</w:t>
            </w:r>
          </w:p>
        </w:tc>
        <w:tc>
          <w:tcPr>
            <w:tcW w:type="dxa" w:w="2520"/>
            <w:vAlign w:val="center"/>
            <w:shd w:fill="EAF1F8"/>
          </w:tcPr>
          <w:p>
            <w:pPr>
              <w:spacing w:after="20"/>
            </w:pPr>
            <w:r>
              <w:rPr>
                <w:rFonts w:ascii="Arial" w:hAnsi="Arial"/>
                <w:sz w:val="16"/>
              </w:rPr>
              <w:t>More posts should invite profile exploration.</w:t>
            </w:r>
          </w:p>
        </w:tc>
      </w:tr>
      <w:tr>
        <w:tc>
          <w:tcPr>
            <w:tcW w:type="dxa" w:w="2520"/>
            <w:vAlign w:val="center"/>
          </w:tcPr>
          <w:p>
            <w:pPr>
              <w:spacing w:after="20"/>
            </w:pPr>
            <w:r>
              <w:rPr>
                <w:rFonts w:ascii="Arial" w:hAnsi="Arial"/>
                <w:sz w:val="16"/>
              </w:rPr>
              <w:t>Link clicks</w:t>
            </w:r>
          </w:p>
        </w:tc>
        <w:tc>
          <w:tcPr>
            <w:tcW w:type="dxa" w:w="2520"/>
            <w:vAlign w:val="center"/>
          </w:tcPr>
          <w:p>
            <w:pPr>
              <w:spacing w:after="20"/>
            </w:pPr>
            <w:r>
              <w:rPr>
                <w:rFonts w:ascii="Arial" w:hAnsi="Arial"/>
                <w:sz w:val="16"/>
              </w:rPr>
              <w:t>360</w:t>
            </w:r>
          </w:p>
        </w:tc>
        <w:tc>
          <w:tcPr>
            <w:tcW w:type="dxa" w:w="2520"/>
            <w:vAlign w:val="center"/>
          </w:tcPr>
          <w:p>
            <w:pPr>
              <w:spacing w:after="20"/>
            </w:pPr>
            <w:r>
              <w:rPr>
                <w:rFonts w:ascii="Arial" w:hAnsi="Arial"/>
                <w:sz w:val="16"/>
              </w:rPr>
              <w:t>31.58% of profile visits</w:t>
            </w:r>
          </w:p>
        </w:tc>
        <w:tc>
          <w:tcPr>
            <w:tcW w:type="dxa" w:w="2520"/>
            <w:vAlign w:val="center"/>
          </w:tcPr>
          <w:p>
            <w:pPr>
              <w:spacing w:after="20"/>
            </w:pPr>
            <w:r>
              <w:rPr>
                <w:rFonts w:ascii="Arial" w:hAnsi="Arial"/>
                <w:sz w:val="16"/>
              </w:rPr>
              <w:t>The link attracted a reasonable share of profile visitors in this simulation.</w:t>
            </w:r>
          </w:p>
        </w:tc>
      </w:tr>
      <w:tr>
        <w:tc>
          <w:tcPr>
            <w:tcW w:type="dxa" w:w="2520"/>
            <w:vAlign w:val="center"/>
            <w:shd w:fill="EAF1F8"/>
          </w:tcPr>
          <w:p>
            <w:pPr>
              <w:spacing w:after="20"/>
            </w:pPr>
            <w:r>
              <w:rPr>
                <w:rFonts w:ascii="Arial" w:hAnsi="Arial"/>
                <w:sz w:val="16"/>
              </w:rPr>
              <w:t>Leads</w:t>
            </w:r>
          </w:p>
        </w:tc>
        <w:tc>
          <w:tcPr>
            <w:tcW w:type="dxa" w:w="2520"/>
            <w:vAlign w:val="center"/>
            <w:shd w:fill="EAF1F8"/>
          </w:tcPr>
          <w:p>
            <w:pPr>
              <w:spacing w:after="20"/>
            </w:pPr>
            <w:r>
              <w:rPr>
                <w:rFonts w:ascii="Arial" w:hAnsi="Arial"/>
                <w:sz w:val="16"/>
              </w:rPr>
              <w:t>72</w:t>
            </w:r>
          </w:p>
        </w:tc>
        <w:tc>
          <w:tcPr>
            <w:tcW w:type="dxa" w:w="2520"/>
            <w:vAlign w:val="center"/>
            <w:shd w:fill="EAF1F8"/>
          </w:tcPr>
          <w:p>
            <w:pPr>
              <w:spacing w:after="20"/>
            </w:pPr>
            <w:r>
              <w:rPr>
                <w:rFonts w:ascii="Arial" w:hAnsi="Arial"/>
                <w:sz w:val="16"/>
              </w:rPr>
              <w:t>20.00% of link clicks</w:t>
            </w:r>
          </w:p>
        </w:tc>
        <w:tc>
          <w:tcPr>
            <w:tcW w:type="dxa" w:w="2520"/>
            <w:vAlign w:val="center"/>
            <w:shd w:fill="EAF1F8"/>
          </w:tcPr>
          <w:p>
            <w:pPr>
              <w:spacing w:after="20"/>
            </w:pPr>
            <w:r>
              <w:rPr>
                <w:rFonts w:ascii="Arial" w:hAnsi="Arial"/>
                <w:sz w:val="16"/>
              </w:rPr>
              <w:t>Test offer clarity and page experience.</w:t>
            </w:r>
          </w:p>
        </w:tc>
      </w:tr>
      <w:tr>
        <w:tc>
          <w:tcPr>
            <w:tcW w:type="dxa" w:w="2520"/>
            <w:vAlign w:val="center"/>
          </w:tcPr>
          <w:p>
            <w:pPr>
              <w:spacing w:after="20"/>
            </w:pPr>
            <w:r>
              <w:rPr>
                <w:rFonts w:ascii="Arial" w:hAnsi="Arial"/>
                <w:sz w:val="16"/>
              </w:rPr>
              <w:t>Purchases / paid enquiries</w:t>
            </w:r>
          </w:p>
        </w:tc>
        <w:tc>
          <w:tcPr>
            <w:tcW w:type="dxa" w:w="2520"/>
            <w:vAlign w:val="center"/>
          </w:tcPr>
          <w:p>
            <w:pPr>
              <w:spacing w:after="20"/>
            </w:pPr>
            <w:r>
              <w:rPr>
                <w:rFonts w:ascii="Arial" w:hAnsi="Arial"/>
                <w:sz w:val="16"/>
              </w:rPr>
              <w:t>9</w:t>
            </w:r>
          </w:p>
        </w:tc>
        <w:tc>
          <w:tcPr>
            <w:tcW w:type="dxa" w:w="2520"/>
            <w:vAlign w:val="center"/>
          </w:tcPr>
          <w:p>
            <w:pPr>
              <w:spacing w:after="20"/>
            </w:pPr>
            <w:r>
              <w:rPr>
                <w:rFonts w:ascii="Arial" w:hAnsi="Arial"/>
                <w:sz w:val="16"/>
              </w:rPr>
              <w:t>12.50% of leads</w:t>
            </w:r>
          </w:p>
        </w:tc>
        <w:tc>
          <w:tcPr>
            <w:tcW w:type="dxa" w:w="2520"/>
            <w:vAlign w:val="center"/>
          </w:tcPr>
          <w:p>
            <w:pPr>
              <w:spacing w:after="20"/>
            </w:pPr>
            <w:r>
              <w:rPr>
                <w:rFonts w:ascii="Arial" w:hAnsi="Arial"/>
                <w:sz w:val="16"/>
              </w:rPr>
              <w:t>Improve lead nurturing and offer-audience fit.</w:t>
            </w:r>
          </w:p>
        </w:tc>
      </w:tr>
    </w:tbl>
    <w:p/>
    <w:p>
      <w:r>
        <w:t>The central insight is that awareness is not the same as business impact. Reels should attract new people, while content and profile design must guide interested viewers from discovery to profile, offer, lead, and final outcome.</w:t>
      </w:r>
    </w:p>
    <w:p>
      <w:pPr>
        <w:pStyle w:val="Heading1"/>
      </w:pPr>
      <w:r>
        <w:t>9. SMART Objectives for December 2026</w:t>
      </w:r>
    </w:p>
    <w:p>
      <w:pPr>
        <w:pStyle w:val="ListNumber"/>
      </w:pPr>
      <w:r>
        <w:t>Increase unique reach from 48,000 to at least 55,000 accounts by December 31 using consistent Reels, collaborations, and topic testing.</w:t>
      </w:r>
    </w:p>
    <w:p>
      <w:pPr>
        <w:pStyle w:val="ListNumber"/>
      </w:pPr>
      <w:r>
        <w:t>Maintain an overall engagement rate by reach of at least 6.5% through practical carousels and interactive Stories each week.</w:t>
      </w:r>
    </w:p>
    <w:p>
      <w:pPr>
        <w:pStyle w:val="ListNumber"/>
      </w:pPr>
      <w:r>
        <w:t>Increase profile visits from 1,140 to 1,400 and link clicks from 360 to 450 through improved CTAs, profile copy, and pinned content.</w:t>
      </w:r>
    </w:p>
    <w:p>
      <w:pPr>
        <w:pStyle w:val="ListNumber"/>
      </w:pPr>
      <w:r>
        <w:t>Generate at least 90 leads and 12 attributed purchases or qualified paid enquiries, while separating organic and paid sources.</w:t>
      </w:r>
    </w:p>
    <w:p>
      <w:pPr>
        <w:pStyle w:val="ListNumber"/>
      </w:pPr>
      <w:r>
        <w:t>Reduce paid cost per lead from the simulated baseline of ₹208.33 to ₹190 or less, provided lead quality does not decline.</w:t>
      </w:r>
    </w:p>
    <w:p>
      <w:r>
        <w:t>These are planning goals, not guaranteed results. Review them weekly and adjust if sample size, budget, or audience response does not support reliable conclusions.</w:t>
      </w:r>
    </w:p>
    <w:p>
      <w:pPr>
        <w:pStyle w:val="Heading1"/>
      </w:pPr>
      <w:r>
        <w:t>10. December Content Strategy</w:t>
      </w:r>
    </w:p>
    <w:p>
      <w:r>
        <w:t>Recommended mix: 12 Reels, 8 educational carousels, 4 static proof/announcement posts, and Stories on five to seven days per week. This equals 24 planned feed posts. Repurpose strong topics into multiple formats rather than creating every asset from scratch.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65D"/>
          </w:tcPr>
          <w:p>
            <w:r>
              <w:rPr>
                <w:b/>
                <w:color w:val="FFFFFF"/>
                <w:sz w:val="16"/>
              </w:rPr>
              <w:t>Content pillar</w:t>
            </w:r>
          </w:p>
        </w:tc>
        <w:tc>
          <w:tcPr>
            <w:tcW w:type="dxa" w:w="2520"/>
            <w:shd w:fill="17365D"/>
          </w:tcPr>
          <w:p>
            <w:r>
              <w:rPr>
                <w:b/>
                <w:color w:val="FFFFFF"/>
                <w:sz w:val="16"/>
              </w:rPr>
              <w:t>Share</w:t>
            </w:r>
          </w:p>
        </w:tc>
        <w:tc>
          <w:tcPr>
            <w:tcW w:type="dxa" w:w="2520"/>
            <w:shd w:fill="17365D"/>
          </w:tcPr>
          <w:p>
            <w:r>
              <w:rPr>
                <w:b/>
                <w:color w:val="FFFFFF"/>
                <w:sz w:val="16"/>
              </w:rPr>
              <w:t>Example topics</w:t>
            </w:r>
          </w:p>
        </w:tc>
        <w:tc>
          <w:tcPr>
            <w:tcW w:type="dxa" w:w="2520"/>
            <w:shd w:fill="17365D"/>
          </w:tcPr>
          <w:p>
            <w:r>
              <w:rPr>
                <w:b/>
                <w:color w:val="FFFFFF"/>
                <w:sz w:val="16"/>
              </w:rPr>
              <w:t>Purpose</w:t>
            </w:r>
          </w:p>
        </w:tc>
      </w:tr>
      <w:tr>
        <w:tc>
          <w:tcPr>
            <w:tcW w:type="dxa" w:w="2520"/>
            <w:vAlign w:val="center"/>
          </w:tcPr>
          <w:p>
            <w:pPr>
              <w:spacing w:after="20"/>
            </w:pPr>
            <w:r>
              <w:rPr>
                <w:rFonts w:ascii="Arial" w:hAnsi="Arial"/>
                <w:sz w:val="16"/>
              </w:rPr>
              <w:t>AI tools and prompt tutorials</w:t>
            </w:r>
          </w:p>
        </w:tc>
        <w:tc>
          <w:tcPr>
            <w:tcW w:type="dxa" w:w="2520"/>
            <w:vAlign w:val="center"/>
          </w:tcPr>
          <w:p>
            <w:pPr>
              <w:spacing w:after="20"/>
            </w:pPr>
            <w:r>
              <w:rPr>
                <w:rFonts w:ascii="Arial" w:hAnsi="Arial"/>
                <w:sz w:val="16"/>
              </w:rPr>
              <w:t>30%</w:t>
            </w:r>
          </w:p>
        </w:tc>
        <w:tc>
          <w:tcPr>
            <w:tcW w:type="dxa" w:w="2520"/>
            <w:vAlign w:val="center"/>
          </w:tcPr>
          <w:p>
            <w:pPr>
              <w:spacing w:after="20"/>
            </w:pPr>
            <w:r>
              <w:rPr>
                <w:rFonts w:ascii="Arial" w:hAnsi="Arial"/>
                <w:sz w:val="16"/>
              </w:rPr>
              <w:t>Prompt demos, tool comparisons, workflow shortcuts.</w:t>
            </w:r>
          </w:p>
        </w:tc>
        <w:tc>
          <w:tcPr>
            <w:tcW w:type="dxa" w:w="2520"/>
            <w:vAlign w:val="center"/>
          </w:tcPr>
          <w:p>
            <w:pPr>
              <w:spacing w:after="20"/>
            </w:pPr>
            <w:r>
              <w:rPr>
                <w:rFonts w:ascii="Arial" w:hAnsi="Arial"/>
                <w:sz w:val="16"/>
              </w:rPr>
              <w:t>Discovery and saves.</w:t>
            </w:r>
          </w:p>
        </w:tc>
      </w:tr>
      <w:tr>
        <w:tc>
          <w:tcPr>
            <w:tcW w:type="dxa" w:w="2520"/>
            <w:vAlign w:val="center"/>
            <w:shd w:fill="EAF1F8"/>
          </w:tcPr>
          <w:p>
            <w:pPr>
              <w:spacing w:after="20"/>
            </w:pPr>
            <w:r>
              <w:rPr>
                <w:rFonts w:ascii="Arial" w:hAnsi="Arial"/>
                <w:sz w:val="16"/>
              </w:rPr>
              <w:t>Content strategy education</w:t>
            </w:r>
          </w:p>
        </w:tc>
        <w:tc>
          <w:tcPr>
            <w:tcW w:type="dxa" w:w="2520"/>
            <w:vAlign w:val="center"/>
            <w:shd w:fill="EAF1F8"/>
          </w:tcPr>
          <w:p>
            <w:pPr>
              <w:spacing w:after="20"/>
            </w:pPr>
            <w:r>
              <w:rPr>
                <w:rFonts w:ascii="Arial" w:hAnsi="Arial"/>
                <w:sz w:val="16"/>
              </w:rPr>
              <w:t>25%</w:t>
            </w:r>
          </w:p>
        </w:tc>
        <w:tc>
          <w:tcPr>
            <w:tcW w:type="dxa" w:w="2520"/>
            <w:vAlign w:val="center"/>
            <w:shd w:fill="EAF1F8"/>
          </w:tcPr>
          <w:p>
            <w:pPr>
              <w:spacing w:after="20"/>
            </w:pPr>
            <w:r>
              <w:rPr>
                <w:rFonts w:ascii="Arial" w:hAnsi="Arial"/>
                <w:sz w:val="16"/>
              </w:rPr>
              <w:t>Hooks, content calendars, caption frameworks, analytics basics.</w:t>
            </w:r>
          </w:p>
        </w:tc>
        <w:tc>
          <w:tcPr>
            <w:tcW w:type="dxa" w:w="2520"/>
            <w:vAlign w:val="center"/>
            <w:shd w:fill="EAF1F8"/>
          </w:tcPr>
          <w:p>
            <w:pPr>
              <w:spacing w:after="20"/>
            </w:pPr>
            <w:r>
              <w:rPr>
                <w:rFonts w:ascii="Arial" w:hAnsi="Arial"/>
                <w:sz w:val="16"/>
              </w:rPr>
              <w:t>Trust and repeat visits.</w:t>
            </w:r>
          </w:p>
        </w:tc>
      </w:tr>
      <w:tr>
        <w:tc>
          <w:tcPr>
            <w:tcW w:type="dxa" w:w="2520"/>
            <w:vAlign w:val="center"/>
          </w:tcPr>
          <w:p>
            <w:pPr>
              <w:spacing w:after="20"/>
            </w:pPr>
            <w:r>
              <w:rPr>
                <w:rFonts w:ascii="Arial" w:hAnsi="Arial"/>
                <w:sz w:val="16"/>
              </w:rPr>
              <w:t>Templates and resources</w:t>
            </w:r>
          </w:p>
        </w:tc>
        <w:tc>
          <w:tcPr>
            <w:tcW w:type="dxa" w:w="2520"/>
            <w:vAlign w:val="center"/>
          </w:tcPr>
          <w:p>
            <w:pPr>
              <w:spacing w:after="20"/>
            </w:pPr>
            <w:r>
              <w:rPr>
                <w:rFonts w:ascii="Arial" w:hAnsi="Arial"/>
                <w:sz w:val="16"/>
              </w:rPr>
              <w:t>20%</w:t>
            </w:r>
          </w:p>
        </w:tc>
        <w:tc>
          <w:tcPr>
            <w:tcW w:type="dxa" w:w="2520"/>
            <w:vAlign w:val="center"/>
          </w:tcPr>
          <w:p>
            <w:pPr>
              <w:spacing w:after="20"/>
            </w:pPr>
            <w:r>
              <w:rPr>
                <w:rFonts w:ascii="Arial" w:hAnsi="Arial"/>
                <w:sz w:val="16"/>
              </w:rPr>
              <w:t>Checklist, mini planner, prompt-pack preview.</w:t>
            </w:r>
          </w:p>
        </w:tc>
        <w:tc>
          <w:tcPr>
            <w:tcW w:type="dxa" w:w="2520"/>
            <w:vAlign w:val="center"/>
          </w:tcPr>
          <w:p>
            <w:pPr>
              <w:spacing w:after="20"/>
            </w:pPr>
            <w:r>
              <w:rPr>
                <w:rFonts w:ascii="Arial" w:hAnsi="Arial"/>
                <w:sz w:val="16"/>
              </w:rPr>
              <w:t>Clicks and leads.</w:t>
            </w:r>
          </w:p>
        </w:tc>
      </w:tr>
      <w:tr>
        <w:tc>
          <w:tcPr>
            <w:tcW w:type="dxa" w:w="2520"/>
            <w:vAlign w:val="center"/>
            <w:shd w:fill="EAF1F8"/>
          </w:tcPr>
          <w:p>
            <w:pPr>
              <w:spacing w:after="20"/>
            </w:pPr>
            <w:r>
              <w:rPr>
                <w:rFonts w:ascii="Arial" w:hAnsi="Arial"/>
                <w:sz w:val="16"/>
              </w:rPr>
              <w:t>Proof and process</w:t>
            </w:r>
          </w:p>
        </w:tc>
        <w:tc>
          <w:tcPr>
            <w:tcW w:type="dxa" w:w="2520"/>
            <w:vAlign w:val="center"/>
            <w:shd w:fill="EAF1F8"/>
          </w:tcPr>
          <w:p>
            <w:pPr>
              <w:spacing w:after="20"/>
            </w:pPr>
            <w:r>
              <w:rPr>
                <w:rFonts w:ascii="Arial" w:hAnsi="Arial"/>
                <w:sz w:val="16"/>
              </w:rPr>
              <w:t>15%</w:t>
            </w:r>
          </w:p>
        </w:tc>
        <w:tc>
          <w:tcPr>
            <w:tcW w:type="dxa" w:w="2520"/>
            <w:vAlign w:val="center"/>
            <w:shd w:fill="EAF1F8"/>
          </w:tcPr>
          <w:p>
            <w:pPr>
              <w:spacing w:after="20"/>
            </w:pPr>
            <w:r>
              <w:rPr>
                <w:rFonts w:ascii="Arial" w:hAnsi="Arial"/>
                <w:sz w:val="16"/>
              </w:rPr>
              <w:t>Before/after workflow, process breakdown, clearly labelled examples.</w:t>
            </w:r>
          </w:p>
        </w:tc>
        <w:tc>
          <w:tcPr>
            <w:tcW w:type="dxa" w:w="2520"/>
            <w:vAlign w:val="center"/>
            <w:shd w:fill="EAF1F8"/>
          </w:tcPr>
          <w:p>
            <w:pPr>
              <w:spacing w:after="20"/>
            </w:pPr>
            <w:r>
              <w:rPr>
                <w:rFonts w:ascii="Arial" w:hAnsi="Arial"/>
                <w:sz w:val="16"/>
              </w:rPr>
              <w:t>Credibility and conversion.</w:t>
            </w:r>
          </w:p>
        </w:tc>
      </w:tr>
      <w:tr>
        <w:tc>
          <w:tcPr>
            <w:tcW w:type="dxa" w:w="2520"/>
            <w:vAlign w:val="center"/>
          </w:tcPr>
          <w:p>
            <w:pPr>
              <w:spacing w:after="20"/>
            </w:pPr>
            <w:r>
              <w:rPr>
                <w:rFonts w:ascii="Arial" w:hAnsi="Arial"/>
                <w:sz w:val="16"/>
              </w:rPr>
              <w:t>Community and conversation</w:t>
            </w:r>
          </w:p>
        </w:tc>
        <w:tc>
          <w:tcPr>
            <w:tcW w:type="dxa" w:w="2520"/>
            <w:vAlign w:val="center"/>
          </w:tcPr>
          <w:p>
            <w:pPr>
              <w:spacing w:after="20"/>
            </w:pPr>
            <w:r>
              <w:rPr>
                <w:rFonts w:ascii="Arial" w:hAnsi="Arial"/>
                <w:sz w:val="16"/>
              </w:rPr>
              <w:t>10%</w:t>
            </w:r>
          </w:p>
        </w:tc>
        <w:tc>
          <w:tcPr>
            <w:tcW w:type="dxa" w:w="2520"/>
            <w:vAlign w:val="center"/>
          </w:tcPr>
          <w:p>
            <w:pPr>
              <w:spacing w:after="20"/>
            </w:pPr>
            <w:r>
              <w:rPr>
                <w:rFonts w:ascii="Arial" w:hAnsi="Arial"/>
                <w:sz w:val="16"/>
              </w:rPr>
              <w:t>Polls, Q&amp;A, creator challenges, follower questions.</w:t>
            </w:r>
          </w:p>
        </w:tc>
        <w:tc>
          <w:tcPr>
            <w:tcW w:type="dxa" w:w="2520"/>
            <w:vAlign w:val="center"/>
          </w:tcPr>
          <w:p>
            <w:pPr>
              <w:spacing w:after="20"/>
            </w:pPr>
            <w:r>
              <w:rPr>
                <w:rFonts w:ascii="Arial" w:hAnsi="Arial"/>
                <w:sz w:val="16"/>
              </w:rPr>
              <w:t>Relationships and topic research.</w:t>
            </w:r>
          </w:p>
        </w:tc>
      </w:tr>
    </w:tbl>
    <w:p/>
    <w:p>
      <w:pPr>
        <w:pStyle w:val="Heading1"/>
      </w:pPr>
      <w:r>
        <w:t>11. Weekly Publishing Schedule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65D"/>
          </w:tcPr>
          <w:p>
            <w:r>
              <w:rPr>
                <w:b/>
                <w:color w:val="FFFFFF"/>
                <w:sz w:val="16"/>
              </w:rPr>
              <w:t>Day</w:t>
            </w:r>
          </w:p>
        </w:tc>
        <w:tc>
          <w:tcPr>
            <w:tcW w:type="dxa" w:w="2520"/>
            <w:shd w:fill="17365D"/>
          </w:tcPr>
          <w:p>
            <w:r>
              <w:rPr>
                <w:b/>
                <w:color w:val="FFFFFF"/>
                <w:sz w:val="16"/>
              </w:rPr>
              <w:t>Format</w:t>
            </w:r>
          </w:p>
        </w:tc>
        <w:tc>
          <w:tcPr>
            <w:tcW w:type="dxa" w:w="2520"/>
            <w:shd w:fill="17365D"/>
          </w:tcPr>
          <w:p>
            <w:r>
              <w:rPr>
                <w:b/>
                <w:color w:val="FFFFFF"/>
                <w:sz w:val="16"/>
              </w:rPr>
              <w:t>Suggested topic / action</w:t>
            </w:r>
          </w:p>
        </w:tc>
        <w:tc>
          <w:tcPr>
            <w:tcW w:type="dxa" w:w="2520"/>
            <w:shd w:fill="17365D"/>
          </w:tcPr>
          <w:p>
            <w:r>
              <w:rPr>
                <w:b/>
                <w:color w:val="FFFFFF"/>
                <w:sz w:val="16"/>
              </w:rPr>
              <w:t>Primary KPI</w:t>
            </w:r>
          </w:p>
        </w:tc>
      </w:tr>
      <w:tr>
        <w:tc>
          <w:tcPr>
            <w:tcW w:type="dxa" w:w="2520"/>
            <w:vAlign w:val="center"/>
          </w:tcPr>
          <w:p>
            <w:pPr>
              <w:spacing w:after="20"/>
            </w:pPr>
            <w:r>
              <w:rPr>
                <w:rFonts w:ascii="Arial" w:hAnsi="Arial"/>
                <w:sz w:val="16"/>
              </w:rPr>
              <w:t>Monday</w:t>
            </w:r>
          </w:p>
        </w:tc>
        <w:tc>
          <w:tcPr>
            <w:tcW w:type="dxa" w:w="2520"/>
            <w:vAlign w:val="center"/>
          </w:tcPr>
          <w:p>
            <w:pPr>
              <w:spacing w:after="20"/>
            </w:pPr>
            <w:r>
              <w:rPr>
                <w:rFonts w:ascii="Arial" w:hAnsi="Arial"/>
                <w:sz w:val="16"/>
              </w:rPr>
              <w:t>Reel</w:t>
            </w:r>
          </w:p>
        </w:tc>
        <w:tc>
          <w:tcPr>
            <w:tcW w:type="dxa" w:w="2520"/>
            <w:vAlign w:val="center"/>
          </w:tcPr>
          <w:p>
            <w:pPr>
              <w:spacing w:after="20"/>
            </w:pPr>
            <w:r>
              <w:rPr>
                <w:rFonts w:ascii="Arial" w:hAnsi="Arial"/>
                <w:sz w:val="16"/>
              </w:rPr>
              <w:t>Solve one common creator problem in 20–30 seconds.</w:t>
            </w:r>
          </w:p>
        </w:tc>
        <w:tc>
          <w:tcPr>
            <w:tcW w:type="dxa" w:w="2520"/>
            <w:vAlign w:val="center"/>
          </w:tcPr>
          <w:p>
            <w:pPr>
              <w:spacing w:after="20"/>
            </w:pPr>
            <w:r>
              <w:rPr>
                <w:rFonts w:ascii="Arial" w:hAnsi="Arial"/>
                <w:sz w:val="16"/>
              </w:rPr>
              <w:t>Reach and retention.</w:t>
            </w:r>
          </w:p>
        </w:tc>
      </w:tr>
      <w:tr>
        <w:tc>
          <w:tcPr>
            <w:tcW w:type="dxa" w:w="2520"/>
            <w:vAlign w:val="center"/>
            <w:shd w:fill="EAF1F8"/>
          </w:tcPr>
          <w:p>
            <w:pPr>
              <w:spacing w:after="20"/>
            </w:pPr>
            <w:r>
              <w:rPr>
                <w:rFonts w:ascii="Arial" w:hAnsi="Arial"/>
                <w:sz w:val="16"/>
              </w:rPr>
              <w:t>Tuesday</w:t>
            </w:r>
          </w:p>
        </w:tc>
        <w:tc>
          <w:tcPr>
            <w:tcW w:type="dxa" w:w="2520"/>
            <w:vAlign w:val="center"/>
            <w:shd w:fill="EAF1F8"/>
          </w:tcPr>
          <w:p>
            <w:pPr>
              <w:spacing w:after="20"/>
            </w:pPr>
            <w:r>
              <w:rPr>
                <w:rFonts w:ascii="Arial" w:hAnsi="Arial"/>
                <w:sz w:val="16"/>
              </w:rPr>
              <w:t>Carousel</w:t>
            </w:r>
          </w:p>
        </w:tc>
        <w:tc>
          <w:tcPr>
            <w:tcW w:type="dxa" w:w="2520"/>
            <w:vAlign w:val="center"/>
            <w:shd w:fill="EAF1F8"/>
          </w:tcPr>
          <w:p>
            <w:pPr>
              <w:spacing w:after="20"/>
            </w:pPr>
            <w:r>
              <w:rPr>
                <w:rFonts w:ascii="Arial" w:hAnsi="Arial"/>
                <w:sz w:val="16"/>
              </w:rPr>
              <w:t>Step-by-step guide or checklist.</w:t>
            </w:r>
          </w:p>
        </w:tc>
        <w:tc>
          <w:tcPr>
            <w:tcW w:type="dxa" w:w="2520"/>
            <w:vAlign w:val="center"/>
            <w:shd w:fill="EAF1F8"/>
          </w:tcPr>
          <w:p>
            <w:pPr>
              <w:spacing w:after="20"/>
            </w:pPr>
            <w:r>
              <w:rPr>
                <w:rFonts w:ascii="Arial" w:hAnsi="Arial"/>
                <w:sz w:val="16"/>
              </w:rPr>
              <w:t>Saves and shares.</w:t>
            </w:r>
          </w:p>
        </w:tc>
      </w:tr>
      <w:tr>
        <w:tc>
          <w:tcPr>
            <w:tcW w:type="dxa" w:w="2520"/>
            <w:vAlign w:val="center"/>
          </w:tcPr>
          <w:p>
            <w:pPr>
              <w:spacing w:after="20"/>
            </w:pPr>
            <w:r>
              <w:rPr>
                <w:rFonts w:ascii="Arial" w:hAnsi="Arial"/>
                <w:sz w:val="16"/>
              </w:rPr>
              <w:t>Wednesday</w:t>
            </w:r>
          </w:p>
        </w:tc>
        <w:tc>
          <w:tcPr>
            <w:tcW w:type="dxa" w:w="2520"/>
            <w:vAlign w:val="center"/>
          </w:tcPr>
          <w:p>
            <w:pPr>
              <w:spacing w:after="20"/>
            </w:pPr>
            <w:r>
              <w:rPr>
                <w:rFonts w:ascii="Arial" w:hAnsi="Arial"/>
                <w:sz w:val="16"/>
              </w:rPr>
              <w:t>Stories</w:t>
            </w:r>
          </w:p>
        </w:tc>
        <w:tc>
          <w:tcPr>
            <w:tcW w:type="dxa" w:w="2520"/>
            <w:vAlign w:val="center"/>
          </w:tcPr>
          <w:p>
            <w:pPr>
              <w:spacing w:after="20"/>
            </w:pPr>
            <w:r>
              <w:rPr>
                <w:rFonts w:ascii="Arial" w:hAnsi="Arial"/>
                <w:sz w:val="16"/>
              </w:rPr>
              <w:t>Poll, quiz, question box, and responses.</w:t>
            </w:r>
          </w:p>
        </w:tc>
        <w:tc>
          <w:tcPr>
            <w:tcW w:type="dxa" w:w="2520"/>
            <w:vAlign w:val="center"/>
          </w:tcPr>
          <w:p>
            <w:pPr>
              <w:spacing w:after="20"/>
            </w:pPr>
            <w:r>
              <w:rPr>
                <w:rFonts w:ascii="Arial" w:hAnsi="Arial"/>
                <w:sz w:val="16"/>
              </w:rPr>
              <w:t>Story interactions.</w:t>
            </w:r>
          </w:p>
        </w:tc>
      </w:tr>
      <w:tr>
        <w:tc>
          <w:tcPr>
            <w:tcW w:type="dxa" w:w="2520"/>
            <w:vAlign w:val="center"/>
            <w:shd w:fill="EAF1F8"/>
          </w:tcPr>
          <w:p>
            <w:pPr>
              <w:spacing w:after="20"/>
            </w:pPr>
            <w:r>
              <w:rPr>
                <w:rFonts w:ascii="Arial" w:hAnsi="Arial"/>
                <w:sz w:val="16"/>
              </w:rPr>
              <w:t>Thursday</w:t>
            </w:r>
          </w:p>
        </w:tc>
        <w:tc>
          <w:tcPr>
            <w:tcW w:type="dxa" w:w="2520"/>
            <w:vAlign w:val="center"/>
            <w:shd w:fill="EAF1F8"/>
          </w:tcPr>
          <w:p>
            <w:pPr>
              <w:spacing w:after="20"/>
            </w:pPr>
            <w:r>
              <w:rPr>
                <w:rFonts w:ascii="Arial" w:hAnsi="Arial"/>
                <w:sz w:val="16"/>
              </w:rPr>
              <w:t>Reel</w:t>
            </w:r>
          </w:p>
        </w:tc>
        <w:tc>
          <w:tcPr>
            <w:tcW w:type="dxa" w:w="2520"/>
            <w:vAlign w:val="center"/>
            <w:shd w:fill="EAF1F8"/>
          </w:tcPr>
          <w:p>
            <w:pPr>
              <w:spacing w:after="20"/>
            </w:pPr>
            <w:r>
              <w:rPr>
                <w:rFonts w:ascii="Arial" w:hAnsi="Arial"/>
                <w:sz w:val="16"/>
              </w:rPr>
              <w:t>AI workflow demo with a strong first two seconds.</w:t>
            </w:r>
          </w:p>
        </w:tc>
        <w:tc>
          <w:tcPr>
            <w:tcW w:type="dxa" w:w="2520"/>
            <w:vAlign w:val="center"/>
            <w:shd w:fill="EAF1F8"/>
          </w:tcPr>
          <w:p>
            <w:pPr>
              <w:spacing w:after="20"/>
            </w:pPr>
            <w:r>
              <w:rPr>
                <w:rFonts w:ascii="Arial" w:hAnsi="Arial"/>
                <w:sz w:val="16"/>
              </w:rPr>
              <w:t>Reach and profile visits.</w:t>
            </w:r>
          </w:p>
        </w:tc>
      </w:tr>
      <w:tr>
        <w:tc>
          <w:tcPr>
            <w:tcW w:type="dxa" w:w="2520"/>
            <w:vAlign w:val="center"/>
          </w:tcPr>
          <w:p>
            <w:pPr>
              <w:spacing w:after="20"/>
            </w:pPr>
            <w:r>
              <w:rPr>
                <w:rFonts w:ascii="Arial" w:hAnsi="Arial"/>
                <w:sz w:val="16"/>
              </w:rPr>
              <w:t>Friday</w:t>
            </w:r>
          </w:p>
        </w:tc>
        <w:tc>
          <w:tcPr>
            <w:tcW w:type="dxa" w:w="2520"/>
            <w:vAlign w:val="center"/>
          </w:tcPr>
          <w:p>
            <w:pPr>
              <w:spacing w:after="20"/>
            </w:pPr>
            <w:r>
              <w:rPr>
                <w:rFonts w:ascii="Arial" w:hAnsi="Arial"/>
                <w:sz w:val="16"/>
              </w:rPr>
              <w:t>Carousel / proof post</w:t>
            </w:r>
          </w:p>
        </w:tc>
        <w:tc>
          <w:tcPr>
            <w:tcW w:type="dxa" w:w="2520"/>
            <w:vAlign w:val="center"/>
          </w:tcPr>
          <w:p>
            <w:pPr>
              <w:spacing w:after="20"/>
            </w:pPr>
            <w:r>
              <w:rPr>
                <w:rFonts w:ascii="Arial" w:hAnsi="Arial"/>
                <w:sz w:val="16"/>
              </w:rPr>
              <w:t>Template preview or example workflow.</w:t>
            </w:r>
          </w:p>
        </w:tc>
        <w:tc>
          <w:tcPr>
            <w:tcW w:type="dxa" w:w="2520"/>
            <w:vAlign w:val="center"/>
          </w:tcPr>
          <w:p>
            <w:pPr>
              <w:spacing w:after="20"/>
            </w:pPr>
            <w:r>
              <w:rPr>
                <w:rFonts w:ascii="Arial" w:hAnsi="Arial"/>
                <w:sz w:val="16"/>
              </w:rPr>
              <w:t>Link clicks and saves.</w:t>
            </w:r>
          </w:p>
        </w:tc>
      </w:tr>
      <w:tr>
        <w:tc>
          <w:tcPr>
            <w:tcW w:type="dxa" w:w="2520"/>
            <w:vAlign w:val="center"/>
            <w:shd w:fill="EAF1F8"/>
          </w:tcPr>
          <w:p>
            <w:pPr>
              <w:spacing w:after="20"/>
            </w:pPr>
            <w:r>
              <w:rPr>
                <w:rFonts w:ascii="Arial" w:hAnsi="Arial"/>
                <w:sz w:val="16"/>
              </w:rPr>
              <w:t>Saturday</w:t>
            </w:r>
          </w:p>
        </w:tc>
        <w:tc>
          <w:tcPr>
            <w:tcW w:type="dxa" w:w="2520"/>
            <w:vAlign w:val="center"/>
            <w:shd w:fill="EAF1F8"/>
          </w:tcPr>
          <w:p>
            <w:pPr>
              <w:spacing w:after="20"/>
            </w:pPr>
            <w:r>
              <w:rPr>
                <w:rFonts w:ascii="Arial" w:hAnsi="Arial"/>
                <w:sz w:val="16"/>
              </w:rPr>
              <w:t>Reel / collaboration</w:t>
            </w:r>
          </w:p>
        </w:tc>
        <w:tc>
          <w:tcPr>
            <w:tcW w:type="dxa" w:w="2520"/>
            <w:vAlign w:val="center"/>
            <w:shd w:fill="EAF1F8"/>
          </w:tcPr>
          <w:p>
            <w:pPr>
              <w:spacing w:after="20"/>
            </w:pPr>
            <w:r>
              <w:rPr>
                <w:rFonts w:ascii="Arial" w:hAnsi="Arial"/>
                <w:sz w:val="16"/>
              </w:rPr>
              <w:t>Creator tip, myth, or collaboration.</w:t>
            </w:r>
          </w:p>
        </w:tc>
        <w:tc>
          <w:tcPr>
            <w:tcW w:type="dxa" w:w="2520"/>
            <w:vAlign w:val="center"/>
            <w:shd w:fill="EAF1F8"/>
          </w:tcPr>
          <w:p>
            <w:pPr>
              <w:spacing w:after="20"/>
            </w:pPr>
            <w:r>
              <w:rPr>
                <w:rFonts w:ascii="Arial" w:hAnsi="Arial"/>
                <w:sz w:val="16"/>
              </w:rPr>
              <w:t>New audience reach.</w:t>
            </w:r>
          </w:p>
        </w:tc>
      </w:tr>
      <w:tr>
        <w:tc>
          <w:tcPr>
            <w:tcW w:type="dxa" w:w="2520"/>
            <w:vAlign w:val="center"/>
          </w:tcPr>
          <w:p>
            <w:pPr>
              <w:spacing w:after="20"/>
            </w:pPr>
            <w:r>
              <w:rPr>
                <w:rFonts w:ascii="Arial" w:hAnsi="Arial"/>
                <w:sz w:val="16"/>
              </w:rPr>
              <w:t>Sunday</w:t>
            </w:r>
          </w:p>
        </w:tc>
        <w:tc>
          <w:tcPr>
            <w:tcW w:type="dxa" w:w="2520"/>
            <w:vAlign w:val="center"/>
          </w:tcPr>
          <w:p>
            <w:pPr>
              <w:spacing w:after="20"/>
            </w:pPr>
            <w:r>
              <w:rPr>
                <w:rFonts w:ascii="Arial" w:hAnsi="Arial"/>
                <w:sz w:val="16"/>
              </w:rPr>
              <w:t>Stories + review</w:t>
            </w:r>
          </w:p>
        </w:tc>
        <w:tc>
          <w:tcPr>
            <w:tcW w:type="dxa" w:w="2520"/>
            <w:vAlign w:val="center"/>
          </w:tcPr>
          <w:p>
            <w:pPr>
              <w:spacing w:after="20"/>
            </w:pPr>
            <w:r>
              <w:rPr>
                <w:rFonts w:ascii="Arial" w:hAnsi="Arial"/>
                <w:sz w:val="16"/>
              </w:rPr>
              <w:t>Weekly recap, audience question, and analytics review.</w:t>
            </w:r>
          </w:p>
        </w:tc>
        <w:tc>
          <w:tcPr>
            <w:tcW w:type="dxa" w:w="2520"/>
            <w:vAlign w:val="center"/>
          </w:tcPr>
          <w:p>
            <w:pPr>
              <w:spacing w:after="20"/>
            </w:pPr>
            <w:r>
              <w:rPr>
                <w:rFonts w:ascii="Arial" w:hAnsi="Arial"/>
                <w:sz w:val="16"/>
              </w:rPr>
              <w:t>Replies and learning actions.</w:t>
            </w:r>
          </w:p>
        </w:tc>
      </w:tr>
    </w:tbl>
    <w:p/>
    <w:p>
      <w:r>
        <w:t>Initial posting windows to test are 12:00–2:00 p.m. and 6:00–9:00 p.m. India Standard Time. These are hypotheses, not universal best times. Compare results in Instagram Insights and retain the time window that performs consistently for this account.</w:t>
      </w:r>
    </w:p>
    <w:p>
      <w:pPr>
        <w:pStyle w:val="Heading1"/>
      </w:pPr>
      <w:r>
        <w:t>12. December Week-by-Week Action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65D"/>
          </w:tcPr>
          <w:p>
            <w:r>
              <w:rPr>
                <w:b/>
                <w:color w:val="FFFFFF"/>
                <w:sz w:val="16"/>
              </w:rPr>
              <w:t>Week</w:t>
            </w:r>
          </w:p>
        </w:tc>
        <w:tc>
          <w:tcPr>
            <w:tcW w:type="dxa" w:w="2520"/>
            <w:shd w:fill="17365D"/>
          </w:tcPr>
          <w:p>
            <w:r>
              <w:rPr>
                <w:b/>
                <w:color w:val="FFFFFF"/>
                <w:sz w:val="16"/>
              </w:rPr>
              <w:t>Focus</w:t>
            </w:r>
          </w:p>
        </w:tc>
        <w:tc>
          <w:tcPr>
            <w:tcW w:type="dxa" w:w="2520"/>
            <w:shd w:fill="17365D"/>
          </w:tcPr>
          <w:p>
            <w:r>
              <w:rPr>
                <w:b/>
                <w:color w:val="FFFFFF"/>
                <w:sz w:val="16"/>
              </w:rPr>
              <w:t>Key actions</w:t>
            </w:r>
          </w:p>
        </w:tc>
        <w:tc>
          <w:tcPr>
            <w:tcW w:type="dxa" w:w="2520"/>
            <w:shd w:fill="17365D"/>
          </w:tcPr>
          <w:p>
            <w:r>
              <w:rPr>
                <w:b/>
                <w:color w:val="FFFFFF"/>
                <w:sz w:val="16"/>
              </w:rPr>
              <w:t>Review decision</w:t>
            </w:r>
          </w:p>
        </w:tc>
      </w:tr>
      <w:tr>
        <w:tc>
          <w:tcPr>
            <w:tcW w:type="dxa" w:w="2520"/>
            <w:vAlign w:val="center"/>
          </w:tcPr>
          <w:p>
            <w:pPr>
              <w:spacing w:after="20"/>
            </w:pPr>
            <w:r>
              <w:rPr>
                <w:rFonts w:ascii="Arial" w:hAnsi="Arial"/>
                <w:sz w:val="16"/>
              </w:rPr>
              <w:t>Dec 1–7</w:t>
            </w:r>
          </w:p>
        </w:tc>
        <w:tc>
          <w:tcPr>
            <w:tcW w:type="dxa" w:w="2520"/>
            <w:vAlign w:val="center"/>
          </w:tcPr>
          <w:p>
            <w:pPr>
              <w:spacing w:after="20"/>
            </w:pPr>
            <w:r>
              <w:rPr>
                <w:rFonts w:ascii="Arial" w:hAnsi="Arial"/>
                <w:sz w:val="16"/>
              </w:rPr>
              <w:t>Improve foundations</w:t>
            </w:r>
          </w:p>
        </w:tc>
        <w:tc>
          <w:tcPr>
            <w:tcW w:type="dxa" w:w="2520"/>
            <w:vAlign w:val="center"/>
          </w:tcPr>
          <w:p>
            <w:pPr>
              <w:spacing w:after="20"/>
            </w:pPr>
            <w:r>
              <w:rPr>
                <w:rFonts w:ascii="Arial" w:hAnsi="Arial"/>
                <w:sz w:val="16"/>
              </w:rPr>
              <w:t>Refresh bio and link page; pin three useful posts; establish tracking; publish two Reels and two carousels.</w:t>
            </w:r>
          </w:p>
        </w:tc>
        <w:tc>
          <w:tcPr>
            <w:tcW w:type="dxa" w:w="2520"/>
            <w:vAlign w:val="center"/>
          </w:tcPr>
          <w:p>
            <w:pPr>
              <w:spacing w:after="20"/>
            </w:pPr>
            <w:r>
              <w:rPr>
                <w:rFonts w:ascii="Arial" w:hAnsi="Arial"/>
                <w:sz w:val="16"/>
              </w:rPr>
              <w:t>Confirm tracking and note baseline.</w:t>
            </w:r>
          </w:p>
        </w:tc>
      </w:tr>
      <w:tr>
        <w:tc>
          <w:tcPr>
            <w:tcW w:type="dxa" w:w="2520"/>
            <w:vAlign w:val="center"/>
            <w:shd w:fill="EAF1F8"/>
          </w:tcPr>
          <w:p>
            <w:pPr>
              <w:spacing w:after="20"/>
            </w:pPr>
            <w:r>
              <w:rPr>
                <w:rFonts w:ascii="Arial" w:hAnsi="Arial"/>
                <w:sz w:val="16"/>
              </w:rPr>
              <w:t>Dec 8–14</w:t>
            </w:r>
          </w:p>
        </w:tc>
        <w:tc>
          <w:tcPr>
            <w:tcW w:type="dxa" w:w="2520"/>
            <w:vAlign w:val="center"/>
            <w:shd w:fill="EAF1F8"/>
          </w:tcPr>
          <w:p>
            <w:pPr>
              <w:spacing w:after="20"/>
            </w:pPr>
            <w:r>
              <w:rPr>
                <w:rFonts w:ascii="Arial" w:hAnsi="Arial"/>
                <w:sz w:val="16"/>
              </w:rPr>
              <w:t>Test creative hooks</w:t>
            </w:r>
          </w:p>
        </w:tc>
        <w:tc>
          <w:tcPr>
            <w:tcW w:type="dxa" w:w="2520"/>
            <w:vAlign w:val="center"/>
            <w:shd w:fill="EAF1F8"/>
          </w:tcPr>
          <w:p>
            <w:pPr>
              <w:spacing w:after="20"/>
            </w:pPr>
            <w:r>
              <w:rPr>
                <w:rFonts w:ascii="Arial" w:hAnsi="Arial"/>
                <w:sz w:val="16"/>
              </w:rPr>
              <w:t>Test two Reel openings, two CTA styles, and a checklist offer; keep other variables similar.</w:t>
            </w:r>
          </w:p>
        </w:tc>
        <w:tc>
          <w:tcPr>
            <w:tcW w:type="dxa" w:w="2520"/>
            <w:vAlign w:val="center"/>
            <w:shd w:fill="EAF1F8"/>
          </w:tcPr>
          <w:p>
            <w:pPr>
              <w:spacing w:after="20"/>
            </w:pPr>
            <w:r>
              <w:rPr>
                <w:rFonts w:ascii="Arial" w:hAnsi="Arial"/>
                <w:sz w:val="16"/>
              </w:rPr>
              <w:t>Keep the clearer winner if results are meaningful.</w:t>
            </w:r>
          </w:p>
        </w:tc>
      </w:tr>
      <w:tr>
        <w:tc>
          <w:tcPr>
            <w:tcW w:type="dxa" w:w="2520"/>
            <w:vAlign w:val="center"/>
          </w:tcPr>
          <w:p>
            <w:pPr>
              <w:spacing w:after="20"/>
            </w:pPr>
            <w:r>
              <w:rPr>
                <w:rFonts w:ascii="Arial" w:hAnsi="Arial"/>
                <w:sz w:val="16"/>
              </w:rPr>
              <w:t>Dec 15–21</w:t>
            </w:r>
          </w:p>
        </w:tc>
        <w:tc>
          <w:tcPr>
            <w:tcW w:type="dxa" w:w="2520"/>
            <w:vAlign w:val="center"/>
          </w:tcPr>
          <w:p>
            <w:pPr>
              <w:spacing w:after="20"/>
            </w:pPr>
            <w:r>
              <w:rPr>
                <w:rFonts w:ascii="Arial" w:hAnsi="Arial"/>
                <w:sz w:val="16"/>
              </w:rPr>
              <w:t>Nurture and retarget</w:t>
            </w:r>
          </w:p>
        </w:tc>
        <w:tc>
          <w:tcPr>
            <w:tcW w:type="dxa" w:w="2520"/>
            <w:vAlign w:val="center"/>
          </w:tcPr>
          <w:p>
            <w:pPr>
              <w:spacing w:after="20"/>
            </w:pPr>
            <w:r>
              <w:rPr>
                <w:rFonts w:ascii="Arial" w:hAnsi="Arial"/>
                <w:sz w:val="16"/>
              </w:rPr>
              <w:t>Publish FAQs and proof-style content; respond to DMs; test small retargeting if eligible.</w:t>
            </w:r>
          </w:p>
        </w:tc>
        <w:tc>
          <w:tcPr>
            <w:tcW w:type="dxa" w:w="2520"/>
            <w:vAlign w:val="center"/>
          </w:tcPr>
          <w:p>
            <w:pPr>
              <w:spacing w:after="20"/>
            </w:pPr>
            <w:r>
              <w:rPr>
                <w:rFonts w:ascii="Arial" w:hAnsi="Arial"/>
                <w:sz w:val="16"/>
              </w:rPr>
              <w:t>Check lead quality and cost, not clicks alone.</w:t>
            </w:r>
          </w:p>
        </w:tc>
      </w:tr>
      <w:tr>
        <w:tc>
          <w:tcPr>
            <w:tcW w:type="dxa" w:w="2520"/>
            <w:vAlign w:val="center"/>
            <w:shd w:fill="EAF1F8"/>
          </w:tcPr>
          <w:p>
            <w:pPr>
              <w:spacing w:after="20"/>
            </w:pPr>
            <w:r>
              <w:rPr>
                <w:rFonts w:ascii="Arial" w:hAnsi="Arial"/>
                <w:sz w:val="16"/>
              </w:rPr>
              <w:t>Dec 22–31</w:t>
            </w:r>
          </w:p>
        </w:tc>
        <w:tc>
          <w:tcPr>
            <w:tcW w:type="dxa" w:w="2520"/>
            <w:vAlign w:val="center"/>
            <w:shd w:fill="EAF1F8"/>
          </w:tcPr>
          <w:p>
            <w:pPr>
              <w:spacing w:after="20"/>
            </w:pPr>
            <w:r>
              <w:rPr>
                <w:rFonts w:ascii="Arial" w:hAnsi="Arial"/>
                <w:sz w:val="16"/>
              </w:rPr>
              <w:t>Optimize and report</w:t>
            </w:r>
          </w:p>
        </w:tc>
        <w:tc>
          <w:tcPr>
            <w:tcW w:type="dxa" w:w="2520"/>
            <w:vAlign w:val="center"/>
            <w:shd w:fill="EAF1F8"/>
          </w:tcPr>
          <w:p>
            <w:pPr>
              <w:spacing w:after="20"/>
            </w:pPr>
            <w:r>
              <w:rPr>
                <w:rFonts w:ascii="Arial" w:hAnsi="Arial"/>
                <w:sz w:val="16"/>
              </w:rPr>
              <w:t>Repeat strongest themes; publish a year-end checklist; compare results with SMART targets.</w:t>
            </w:r>
          </w:p>
        </w:tc>
        <w:tc>
          <w:tcPr>
            <w:tcW w:type="dxa" w:w="2520"/>
            <w:vAlign w:val="center"/>
            <w:shd w:fill="EAF1F8"/>
          </w:tcPr>
          <w:p>
            <w:pPr>
              <w:spacing w:after="20"/>
            </w:pPr>
            <w:r>
              <w:rPr>
                <w:rFonts w:ascii="Arial" w:hAnsi="Arial"/>
                <w:sz w:val="16"/>
              </w:rPr>
              <w:t>Document what to continue, stop, and test in January.</w:t>
            </w:r>
          </w:p>
        </w:tc>
      </w:tr>
    </w:tbl>
    <w:p/>
    <w:p>
      <w:pPr>
        <w:pStyle w:val="Heading1"/>
      </w:pPr>
      <w:r>
        <w:t>13. Illustrative Budget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r>
              <w:rPr>
                <w:b/>
                <w:color w:val="FFFFFF"/>
                <w:sz w:val="16"/>
              </w:rPr>
              <w:t>Budget item</w:t>
            </w:r>
          </w:p>
        </w:tc>
        <w:tc>
          <w:tcPr>
            <w:tcW w:type="dxa" w:w="3360"/>
            <w:shd w:fill="17365D"/>
          </w:tcPr>
          <w:p>
            <w:r>
              <w:rPr>
                <w:b/>
                <w:color w:val="FFFFFF"/>
                <w:sz w:val="16"/>
              </w:rPr>
              <w:t>Allocation</w:t>
            </w:r>
          </w:p>
        </w:tc>
        <w:tc>
          <w:tcPr>
            <w:tcW w:type="dxa" w:w="3360"/>
            <w:shd w:fill="17365D"/>
          </w:tcPr>
          <w:p>
            <w:r>
              <w:rPr>
                <w:b/>
                <w:color w:val="FFFFFF"/>
                <w:sz w:val="16"/>
              </w:rPr>
              <w:t>Purpose</w:t>
            </w:r>
          </w:p>
        </w:tc>
      </w:tr>
      <w:tr>
        <w:tc>
          <w:tcPr>
            <w:tcW w:type="dxa" w:w="3360"/>
            <w:vAlign w:val="center"/>
          </w:tcPr>
          <w:p>
            <w:pPr>
              <w:spacing w:after="20"/>
            </w:pPr>
            <w:r>
              <w:rPr>
                <w:rFonts w:ascii="Arial" w:hAnsi="Arial"/>
                <w:sz w:val="16"/>
              </w:rPr>
              <w:t>Instagram paid promotion / ads</w:t>
            </w:r>
          </w:p>
        </w:tc>
        <w:tc>
          <w:tcPr>
            <w:tcW w:type="dxa" w:w="3360"/>
            <w:vAlign w:val="center"/>
          </w:tcPr>
          <w:p>
            <w:pPr>
              <w:spacing w:after="20"/>
            </w:pPr>
            <w:r>
              <w:rPr>
                <w:rFonts w:ascii="Arial" w:hAnsi="Arial"/>
                <w:sz w:val="16"/>
              </w:rPr>
              <w:t>₹15,000</w:t>
            </w:r>
          </w:p>
        </w:tc>
        <w:tc>
          <w:tcPr>
            <w:tcW w:type="dxa" w:w="3360"/>
            <w:vAlign w:val="center"/>
          </w:tcPr>
          <w:p>
            <w:pPr>
              <w:spacing w:after="20"/>
            </w:pPr>
            <w:r>
              <w:rPr>
                <w:rFonts w:ascii="Arial" w:hAnsi="Arial"/>
                <w:sz w:val="16"/>
              </w:rPr>
              <w:t>Test awareness, traffic, and lead generation in controlled phases.</w:t>
            </w:r>
          </w:p>
        </w:tc>
      </w:tr>
      <w:tr>
        <w:tc>
          <w:tcPr>
            <w:tcW w:type="dxa" w:w="3360"/>
            <w:vAlign w:val="center"/>
            <w:shd w:fill="EAF1F8"/>
          </w:tcPr>
          <w:p>
            <w:pPr>
              <w:spacing w:after="20"/>
            </w:pPr>
            <w:r>
              <w:rPr>
                <w:rFonts w:ascii="Arial" w:hAnsi="Arial"/>
                <w:sz w:val="16"/>
              </w:rPr>
              <w:t>Creative and editing tools</w:t>
            </w:r>
          </w:p>
        </w:tc>
        <w:tc>
          <w:tcPr>
            <w:tcW w:type="dxa" w:w="3360"/>
            <w:vAlign w:val="center"/>
            <w:shd w:fill="EAF1F8"/>
          </w:tcPr>
          <w:p>
            <w:pPr>
              <w:spacing w:after="20"/>
            </w:pPr>
            <w:r>
              <w:rPr>
                <w:rFonts w:ascii="Arial" w:hAnsi="Arial"/>
                <w:sz w:val="16"/>
              </w:rPr>
              <w:t>₹1,000</w:t>
            </w:r>
          </w:p>
        </w:tc>
        <w:tc>
          <w:tcPr>
            <w:tcW w:type="dxa" w:w="3360"/>
            <w:vAlign w:val="center"/>
            <w:shd w:fill="EAF1F8"/>
          </w:tcPr>
          <w:p>
            <w:pPr>
              <w:spacing w:after="20"/>
            </w:pPr>
            <w:r>
              <w:rPr>
                <w:rFonts w:ascii="Arial" w:hAnsi="Arial"/>
                <w:sz w:val="16"/>
              </w:rPr>
              <w:t>Optional assets or tool costs; prioritize free tools.</w:t>
            </w:r>
          </w:p>
        </w:tc>
      </w:tr>
      <w:tr>
        <w:tc>
          <w:tcPr>
            <w:tcW w:type="dxa" w:w="3360"/>
            <w:vAlign w:val="center"/>
          </w:tcPr>
          <w:p>
            <w:pPr>
              <w:spacing w:after="20"/>
            </w:pPr>
            <w:r>
              <w:rPr>
                <w:rFonts w:ascii="Arial" w:hAnsi="Arial"/>
                <w:sz w:val="16"/>
              </w:rPr>
              <w:t>Landing page / email capture</w:t>
            </w:r>
          </w:p>
        </w:tc>
        <w:tc>
          <w:tcPr>
            <w:tcW w:type="dxa" w:w="3360"/>
            <w:vAlign w:val="center"/>
          </w:tcPr>
          <w:p>
            <w:pPr>
              <w:spacing w:after="20"/>
            </w:pPr>
            <w:r>
              <w:rPr>
                <w:rFonts w:ascii="Arial" w:hAnsi="Arial"/>
                <w:sz w:val="16"/>
              </w:rPr>
              <w:t>₹1,500</w:t>
            </w:r>
          </w:p>
        </w:tc>
        <w:tc>
          <w:tcPr>
            <w:tcW w:type="dxa" w:w="3360"/>
            <w:vAlign w:val="center"/>
          </w:tcPr>
          <w:p>
            <w:pPr>
              <w:spacing w:after="20"/>
            </w:pPr>
            <w:r>
              <w:rPr>
                <w:rFonts w:ascii="Arial" w:hAnsi="Arial"/>
                <w:sz w:val="16"/>
              </w:rPr>
              <w:t>Improve checklist page and lead collection.</w:t>
            </w:r>
          </w:p>
        </w:tc>
      </w:tr>
      <w:tr>
        <w:tc>
          <w:tcPr>
            <w:tcW w:type="dxa" w:w="3360"/>
            <w:vAlign w:val="center"/>
            <w:shd w:fill="EAF1F8"/>
          </w:tcPr>
          <w:p>
            <w:pPr>
              <w:spacing w:after="20"/>
            </w:pPr>
            <w:r>
              <w:rPr>
                <w:rFonts w:ascii="Arial" w:hAnsi="Arial"/>
                <w:sz w:val="16"/>
              </w:rPr>
              <w:t>Creator collaboration / sample asset</w:t>
            </w:r>
          </w:p>
        </w:tc>
        <w:tc>
          <w:tcPr>
            <w:tcW w:type="dxa" w:w="3360"/>
            <w:vAlign w:val="center"/>
            <w:shd w:fill="EAF1F8"/>
          </w:tcPr>
          <w:p>
            <w:pPr>
              <w:spacing w:after="20"/>
            </w:pPr>
            <w:r>
              <w:rPr>
                <w:rFonts w:ascii="Arial" w:hAnsi="Arial"/>
                <w:sz w:val="16"/>
              </w:rPr>
              <w:t>₹1,500</w:t>
            </w:r>
          </w:p>
        </w:tc>
        <w:tc>
          <w:tcPr>
            <w:tcW w:type="dxa" w:w="3360"/>
            <w:vAlign w:val="center"/>
            <w:shd w:fill="EAF1F8"/>
          </w:tcPr>
          <w:p>
            <w:pPr>
              <w:spacing w:after="20"/>
            </w:pPr>
            <w:r>
              <w:rPr>
                <w:rFonts w:ascii="Arial" w:hAnsi="Arial"/>
                <w:sz w:val="16"/>
              </w:rPr>
              <w:t>Small collaboration or creator-made example, subject to availability.</w:t>
            </w:r>
          </w:p>
        </w:tc>
      </w:tr>
      <w:tr>
        <w:tc>
          <w:tcPr>
            <w:tcW w:type="dxa" w:w="3360"/>
            <w:vAlign w:val="center"/>
          </w:tcPr>
          <w:p>
            <w:pPr>
              <w:spacing w:after="20"/>
            </w:pPr>
            <w:r>
              <w:rPr>
                <w:rFonts w:ascii="Arial" w:hAnsi="Arial"/>
                <w:sz w:val="16"/>
              </w:rPr>
              <w:t>Contingency</w:t>
            </w:r>
          </w:p>
        </w:tc>
        <w:tc>
          <w:tcPr>
            <w:tcW w:type="dxa" w:w="3360"/>
            <w:vAlign w:val="center"/>
          </w:tcPr>
          <w:p>
            <w:pPr>
              <w:spacing w:after="20"/>
            </w:pPr>
            <w:r>
              <w:rPr>
                <w:rFonts w:ascii="Arial" w:hAnsi="Arial"/>
                <w:sz w:val="16"/>
              </w:rPr>
              <w:t>₹1,000</w:t>
            </w:r>
          </w:p>
        </w:tc>
        <w:tc>
          <w:tcPr>
            <w:tcW w:type="dxa" w:w="3360"/>
            <w:vAlign w:val="center"/>
          </w:tcPr>
          <w:p>
            <w:pPr>
              <w:spacing w:after="20"/>
            </w:pPr>
            <w:r>
              <w:rPr>
                <w:rFonts w:ascii="Arial" w:hAnsi="Arial"/>
                <w:sz w:val="16"/>
              </w:rPr>
              <w:t>Reserve for adjustment or unexpected cost.</w:t>
            </w:r>
          </w:p>
        </w:tc>
      </w:tr>
      <w:tr>
        <w:tc>
          <w:tcPr>
            <w:tcW w:type="dxa" w:w="3360"/>
            <w:vAlign w:val="center"/>
            <w:shd w:fill="EAF1F8"/>
          </w:tcPr>
          <w:p>
            <w:pPr>
              <w:spacing w:after="20"/>
            </w:pPr>
            <w:r>
              <w:rPr>
                <w:rFonts w:ascii="Arial" w:hAnsi="Arial"/>
                <w:sz w:val="16"/>
              </w:rPr>
              <w:t>Total illustrative budget</w:t>
            </w:r>
          </w:p>
        </w:tc>
        <w:tc>
          <w:tcPr>
            <w:tcW w:type="dxa" w:w="3360"/>
            <w:vAlign w:val="center"/>
            <w:shd w:fill="EAF1F8"/>
          </w:tcPr>
          <w:p>
            <w:pPr>
              <w:spacing w:after="20"/>
            </w:pPr>
            <w:r>
              <w:rPr>
                <w:rFonts w:ascii="Arial" w:hAnsi="Arial"/>
                <w:sz w:val="16"/>
              </w:rPr>
              <w:t>₹20,000</w:t>
            </w:r>
          </w:p>
        </w:tc>
        <w:tc>
          <w:tcPr>
            <w:tcW w:type="dxa" w:w="3360"/>
            <w:vAlign w:val="center"/>
            <w:shd w:fill="EAF1F8"/>
          </w:tcPr>
          <w:p>
            <w:pPr>
              <w:spacing w:after="20"/>
            </w:pPr>
            <w:r>
              <w:rPr>
                <w:rFonts w:ascii="Arial" w:hAnsi="Arial"/>
                <w:sz w:val="16"/>
              </w:rPr>
              <w:t>Planning estimate, not actual spend or quotation.</w:t>
            </w:r>
          </w:p>
        </w:tc>
      </w:tr>
    </w:tbl>
    <w:p/>
    <w:p>
      <w:r>
        <w:t>Suggested media split: 40% discovery/awareness, 40% traffic or lead generation, and 20% retargeting. Begin with a small test, avoid changing several variables at once, and increase spend only after reviewing lead quality and cost. Use personal data for retargeting only where appropriate consent and platform requirements are satisfied.</w:t>
      </w:r>
    </w:p>
    <w:p>
      <w:pPr>
        <w:pStyle w:val="Heading1"/>
      </w:pPr>
      <w:r>
        <w:t>14. Testing and Optimization Framework</w:t>
      </w:r>
    </w:p>
    <w:p>
      <w:pPr>
        <w:pStyle w:val="ListBullet"/>
      </w:pPr>
      <w:r>
        <w:t>Hook test: compare a problem-led opening with a result-led opening on otherwise similar Reels.</w:t>
      </w:r>
    </w:p>
    <w:p>
      <w:pPr>
        <w:pStyle w:val="ListBullet"/>
      </w:pPr>
      <w:r>
        <w:t>CTA test: compare “Save this checklist” with “Get the free starter checklist,” depending on the post goal.</w:t>
      </w:r>
    </w:p>
    <w:p>
      <w:pPr>
        <w:pStyle w:val="ListBullet"/>
      </w:pPr>
      <w:r>
        <w:t>Landing-page test: compare a short form with a longer form and track lead quality as well as completion.</w:t>
      </w:r>
    </w:p>
    <w:p>
      <w:pPr>
        <w:pStyle w:val="ListBullet"/>
      </w:pPr>
      <w:r>
        <w:t>Creative test: compare screen-recording demonstrations, text-led Reels, and carousel summaries.</w:t>
      </w:r>
    </w:p>
    <w:p>
      <w:pPr>
        <w:pStyle w:val="ListBullet"/>
      </w:pPr>
      <w:r>
        <w:t>Budget rule: allow tests enough delivery to avoid decisions based on a few clicks. If results are inconclusive, label them inconclusive.</w:t>
      </w:r>
    </w:p>
    <w:p>
      <w:pPr>
        <w:pStyle w:val="ListBullet"/>
      </w:pPr>
      <w:r>
        <w:t>Reporting cadence: review core metrics weekly and conduct a full comparison at month-end.</w:t>
      </w:r>
    </w:p>
    <w:p>
      <w:pPr>
        <w:pStyle w:val="Heading1"/>
      </w:pPr>
      <w:r>
        <w:t>15. Tracking Sheet and Reporting Routine</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6"/>
              </w:rPr>
              <w:t>Field</w:t>
            </w:r>
          </w:p>
        </w:tc>
        <w:tc>
          <w:tcPr>
            <w:tcW w:type="dxa" w:w="5040"/>
            <w:shd w:fill="17365D"/>
          </w:tcPr>
          <w:p>
            <w:r>
              <w:rPr>
                <w:b/>
                <w:color w:val="FFFFFF"/>
                <w:sz w:val="16"/>
              </w:rPr>
              <w:t>What to capture</w:t>
            </w:r>
          </w:p>
        </w:tc>
      </w:tr>
      <w:tr>
        <w:tc>
          <w:tcPr>
            <w:tcW w:type="dxa" w:w="5040"/>
            <w:vAlign w:val="center"/>
          </w:tcPr>
          <w:p>
            <w:pPr>
              <w:spacing w:after="20"/>
            </w:pPr>
            <w:r>
              <w:rPr>
                <w:rFonts w:ascii="Arial" w:hAnsi="Arial"/>
                <w:sz w:val="16"/>
              </w:rPr>
              <w:t>Date / content ID</w:t>
            </w:r>
          </w:p>
        </w:tc>
        <w:tc>
          <w:tcPr>
            <w:tcW w:type="dxa" w:w="5040"/>
            <w:vAlign w:val="center"/>
          </w:tcPr>
          <w:p>
            <w:pPr>
              <w:spacing w:after="20"/>
            </w:pPr>
            <w:r>
              <w:rPr>
                <w:rFonts w:ascii="Arial" w:hAnsi="Arial"/>
                <w:sz w:val="16"/>
              </w:rPr>
              <w:t>Publishing date, format, topic, and unique post identifier.</w:t>
            </w:r>
          </w:p>
        </w:tc>
      </w:tr>
      <w:tr>
        <w:tc>
          <w:tcPr>
            <w:tcW w:type="dxa" w:w="5040"/>
            <w:vAlign w:val="center"/>
            <w:shd w:fill="EAF1F8"/>
          </w:tcPr>
          <w:p>
            <w:pPr>
              <w:spacing w:after="20"/>
            </w:pPr>
            <w:r>
              <w:rPr>
                <w:rFonts w:ascii="Arial" w:hAnsi="Arial"/>
                <w:sz w:val="16"/>
              </w:rPr>
              <w:t>Creative details</w:t>
            </w:r>
          </w:p>
        </w:tc>
        <w:tc>
          <w:tcPr>
            <w:tcW w:type="dxa" w:w="5040"/>
            <w:vAlign w:val="center"/>
            <w:shd w:fill="EAF1F8"/>
          </w:tcPr>
          <w:p>
            <w:pPr>
              <w:spacing w:after="20"/>
            </w:pPr>
            <w:r>
              <w:rPr>
                <w:rFonts w:ascii="Arial" w:hAnsi="Arial"/>
                <w:sz w:val="16"/>
              </w:rPr>
              <w:t>Hook, CTA, content pillar, duration, or slide count.</w:t>
            </w:r>
          </w:p>
        </w:tc>
      </w:tr>
      <w:tr>
        <w:tc>
          <w:tcPr>
            <w:tcW w:type="dxa" w:w="5040"/>
            <w:vAlign w:val="center"/>
          </w:tcPr>
          <w:p>
            <w:pPr>
              <w:spacing w:after="20"/>
            </w:pPr>
            <w:r>
              <w:rPr>
                <w:rFonts w:ascii="Arial" w:hAnsi="Arial"/>
                <w:sz w:val="16"/>
              </w:rPr>
              <w:t>Organic metrics</w:t>
            </w:r>
          </w:p>
        </w:tc>
        <w:tc>
          <w:tcPr>
            <w:tcW w:type="dxa" w:w="5040"/>
            <w:vAlign w:val="center"/>
          </w:tcPr>
          <w:p>
            <w:pPr>
              <w:spacing w:after="20"/>
            </w:pPr>
            <w:r>
              <w:rPr>
                <w:rFonts w:ascii="Arial" w:hAnsi="Arial"/>
                <w:sz w:val="16"/>
              </w:rPr>
              <w:t>Reach, impressions, likes, comments, saves, shares, and profile visits where available.</w:t>
            </w:r>
          </w:p>
        </w:tc>
      </w:tr>
      <w:tr>
        <w:tc>
          <w:tcPr>
            <w:tcW w:type="dxa" w:w="5040"/>
            <w:vAlign w:val="center"/>
            <w:shd w:fill="EAF1F8"/>
          </w:tcPr>
          <w:p>
            <w:pPr>
              <w:spacing w:after="20"/>
            </w:pPr>
            <w:r>
              <w:rPr>
                <w:rFonts w:ascii="Arial" w:hAnsi="Arial"/>
                <w:sz w:val="16"/>
              </w:rPr>
              <w:t>Traffic and outcomes</w:t>
            </w:r>
          </w:p>
        </w:tc>
        <w:tc>
          <w:tcPr>
            <w:tcW w:type="dxa" w:w="5040"/>
            <w:vAlign w:val="center"/>
            <w:shd w:fill="EAF1F8"/>
          </w:tcPr>
          <w:p>
            <w:pPr>
              <w:spacing w:after="20"/>
            </w:pPr>
            <w:r>
              <w:rPr>
                <w:rFonts w:ascii="Arial" w:hAnsi="Arial"/>
                <w:sz w:val="16"/>
              </w:rPr>
              <w:t>Link clicks, landing-page sessions, leads, qualified enquiries, and purchases.</w:t>
            </w:r>
          </w:p>
        </w:tc>
      </w:tr>
      <w:tr>
        <w:tc>
          <w:tcPr>
            <w:tcW w:type="dxa" w:w="5040"/>
            <w:vAlign w:val="center"/>
          </w:tcPr>
          <w:p>
            <w:pPr>
              <w:spacing w:after="20"/>
            </w:pPr>
            <w:r>
              <w:rPr>
                <w:rFonts w:ascii="Arial" w:hAnsi="Arial"/>
                <w:sz w:val="16"/>
              </w:rPr>
              <w:t>Paid metrics</w:t>
            </w:r>
          </w:p>
        </w:tc>
        <w:tc>
          <w:tcPr>
            <w:tcW w:type="dxa" w:w="5040"/>
            <w:vAlign w:val="center"/>
          </w:tcPr>
          <w:p>
            <w:pPr>
              <w:spacing w:after="20"/>
            </w:pPr>
            <w:r>
              <w:rPr>
                <w:rFonts w:ascii="Arial" w:hAnsi="Arial"/>
                <w:sz w:val="16"/>
              </w:rPr>
              <w:t>Spend, impressions, reach, clicks, CPM, CPC, leads, cost per lead, and attributed outcomes.</w:t>
            </w:r>
          </w:p>
        </w:tc>
      </w:tr>
      <w:tr>
        <w:tc>
          <w:tcPr>
            <w:tcW w:type="dxa" w:w="5040"/>
            <w:vAlign w:val="center"/>
            <w:shd w:fill="EAF1F8"/>
          </w:tcPr>
          <w:p>
            <w:pPr>
              <w:spacing w:after="20"/>
            </w:pPr>
            <w:r>
              <w:rPr>
                <w:rFonts w:ascii="Arial" w:hAnsi="Arial"/>
                <w:sz w:val="16"/>
              </w:rPr>
              <w:t>Learning / next action</w:t>
            </w:r>
          </w:p>
        </w:tc>
        <w:tc>
          <w:tcPr>
            <w:tcW w:type="dxa" w:w="5040"/>
            <w:vAlign w:val="center"/>
            <w:shd w:fill="EAF1F8"/>
          </w:tcPr>
          <w:p>
            <w:pPr>
              <w:spacing w:after="20"/>
            </w:pPr>
            <w:r>
              <w:rPr>
                <w:rFonts w:ascii="Arial" w:hAnsi="Arial"/>
                <w:sz w:val="16"/>
              </w:rPr>
              <w:t>What worked, what did not, possible explanation, and the next test.</w:t>
            </w:r>
          </w:p>
        </w:tc>
      </w:tr>
    </w:tbl>
    <w:p/>
    <w:p>
      <w:r>
        <w:t>Use platform analytics and a consistent spreadsheet. Where possible, use UTM parameters for campaign links and define the attribution window before the campaign begins. Do not double-count overlapping reach; clearly label estimated, organic, paid, and conversion metrics.</w:t>
      </w:r>
    </w:p>
    <w:p>
      <w:pPr>
        <w:pStyle w:val="Heading1"/>
      </w:pPr>
      <w:r>
        <w:t>16. Risks, Ethics, and Quality Controls</w:t>
      </w:r>
    </w:p>
    <w:p>
      <w:pPr>
        <w:pStyle w:val="ListBullet"/>
      </w:pPr>
      <w:r>
        <w:t>Transparency: label simulated results as hypothetical; never present illustrative figures as actual performance.</w:t>
      </w:r>
    </w:p>
    <w:p>
      <w:pPr>
        <w:pStyle w:val="ListBullet"/>
      </w:pPr>
      <w:r>
        <w:t>AI accuracy: review AI-generated captions, images, and advice before publishing; correct errors and avoid misleading claims.</w:t>
      </w:r>
    </w:p>
    <w:p>
      <w:pPr>
        <w:pStyle w:val="ListBullet"/>
      </w:pPr>
      <w:r>
        <w:t>Privacy: collect only necessary lead information and explain how it will be used.</w:t>
      </w:r>
    </w:p>
    <w:p>
      <w:pPr>
        <w:pStyle w:val="ListBullet"/>
      </w:pPr>
      <w:r>
        <w:t>Accessibility: use readable text, captions for videos, suitable contrast, and descriptive alt text where available.</w:t>
      </w:r>
    </w:p>
    <w:p>
      <w:pPr>
        <w:pStyle w:val="ListBullet"/>
      </w:pPr>
      <w:r>
        <w:t>Brand safety: moderate spam and abuse consistently while allowing respectful criticism.</w:t>
      </w:r>
    </w:p>
    <w:p>
      <w:pPr>
        <w:pStyle w:val="ListBullet"/>
      </w:pPr>
      <w:r>
        <w:t>Budget control: set spending limits and pause ads that spend without meaningful progress.</w:t>
      </w:r>
    </w:p>
    <w:p>
      <w:pPr>
        <w:pStyle w:val="ListBullet"/>
      </w:pPr>
      <w:r>
        <w:t>Attribution honesty: report limitations and avoid claiming that one factor caused a result without sufficient evidence.</w:t>
      </w:r>
    </w:p>
    <w:p>
      <w:pPr>
        <w:pStyle w:val="Heading1"/>
      </w:pPr>
      <w:r>
        <w:t>17. Conclusion</w:t>
      </w:r>
    </w:p>
    <w:p>
      <w:r>
        <w:t>The simulated November report suggests that Reels are the strongest format for discovery, carousels support deeper engagement, and Stories help maintain audience relationships. The largest opportunity is to improve the path from reach to profile visits, link clicks, leads, and paid outcomes. December therefore combines a focused content mix with improved profile messaging, a clearer lead magnet, weekly creative tests, controlled budget allocation, and consistent reporting. By evaluating results against defined objectives and documenting both successes and limitations, PixelSpark Studio can develop a repeatable social media improvement process.</w:t>
      </w:r>
    </w:p>
    <w:p>
      <w:pPr>
        <w:pStyle w:val="Heading1"/>
      </w:pPr>
      <w:r>
        <w:t>Appendix A: Formula Reference</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6"/>
              </w:rPr>
              <w:t>Metric</w:t>
            </w:r>
          </w:p>
        </w:tc>
        <w:tc>
          <w:tcPr>
            <w:tcW w:type="dxa" w:w="5040"/>
            <w:shd w:fill="17365D"/>
          </w:tcPr>
          <w:p>
            <w:r>
              <w:rPr>
                <w:b/>
                <w:color w:val="FFFFFF"/>
                <w:sz w:val="16"/>
              </w:rPr>
              <w:t>Formula</w:t>
            </w:r>
          </w:p>
        </w:tc>
      </w:tr>
      <w:tr>
        <w:tc>
          <w:tcPr>
            <w:tcW w:type="dxa" w:w="5040"/>
            <w:vAlign w:val="center"/>
          </w:tcPr>
          <w:p>
            <w:pPr>
              <w:spacing w:after="20"/>
            </w:pPr>
            <w:r>
              <w:rPr>
                <w:rFonts w:ascii="Arial" w:hAnsi="Arial"/>
                <w:sz w:val="16"/>
              </w:rPr>
              <w:t>Engagement rate by reach</w:t>
            </w:r>
          </w:p>
        </w:tc>
        <w:tc>
          <w:tcPr>
            <w:tcW w:type="dxa" w:w="5040"/>
            <w:vAlign w:val="center"/>
          </w:tcPr>
          <w:p>
            <w:pPr>
              <w:spacing w:after="20"/>
            </w:pPr>
            <w:r>
              <w:rPr>
                <w:rFonts w:ascii="Arial" w:hAnsi="Arial"/>
                <w:sz w:val="16"/>
              </w:rPr>
              <w:t>Total engagements ÷ reach × 100</w:t>
            </w:r>
          </w:p>
        </w:tc>
      </w:tr>
      <w:tr>
        <w:tc>
          <w:tcPr>
            <w:tcW w:type="dxa" w:w="5040"/>
            <w:vAlign w:val="center"/>
            <w:shd w:fill="EAF1F8"/>
          </w:tcPr>
          <w:p>
            <w:pPr>
              <w:spacing w:after="20"/>
            </w:pPr>
            <w:r>
              <w:rPr>
                <w:rFonts w:ascii="Arial" w:hAnsi="Arial"/>
                <w:sz w:val="16"/>
              </w:rPr>
              <w:t>Profile-visit rate</w:t>
            </w:r>
          </w:p>
        </w:tc>
        <w:tc>
          <w:tcPr>
            <w:tcW w:type="dxa" w:w="5040"/>
            <w:vAlign w:val="center"/>
            <w:shd w:fill="EAF1F8"/>
          </w:tcPr>
          <w:p>
            <w:pPr>
              <w:spacing w:after="20"/>
            </w:pPr>
            <w:r>
              <w:rPr>
                <w:rFonts w:ascii="Arial" w:hAnsi="Arial"/>
                <w:sz w:val="16"/>
              </w:rPr>
              <w:t>Profile visits ÷ reach × 100</w:t>
            </w:r>
          </w:p>
        </w:tc>
      </w:tr>
      <w:tr>
        <w:tc>
          <w:tcPr>
            <w:tcW w:type="dxa" w:w="5040"/>
            <w:vAlign w:val="center"/>
          </w:tcPr>
          <w:p>
            <w:pPr>
              <w:spacing w:after="20"/>
            </w:pPr>
            <w:r>
              <w:rPr>
                <w:rFonts w:ascii="Arial" w:hAnsi="Arial"/>
                <w:sz w:val="16"/>
              </w:rPr>
              <w:t>Link click rate from profile visits</w:t>
            </w:r>
          </w:p>
        </w:tc>
        <w:tc>
          <w:tcPr>
            <w:tcW w:type="dxa" w:w="5040"/>
            <w:vAlign w:val="center"/>
          </w:tcPr>
          <w:p>
            <w:pPr>
              <w:spacing w:after="20"/>
            </w:pPr>
            <w:r>
              <w:rPr>
                <w:rFonts w:ascii="Arial" w:hAnsi="Arial"/>
                <w:sz w:val="16"/>
              </w:rPr>
              <w:t>Link clicks ÷ profile visits × 100</w:t>
            </w:r>
          </w:p>
        </w:tc>
      </w:tr>
      <w:tr>
        <w:tc>
          <w:tcPr>
            <w:tcW w:type="dxa" w:w="5040"/>
            <w:vAlign w:val="center"/>
            <w:shd w:fill="EAF1F8"/>
          </w:tcPr>
          <w:p>
            <w:pPr>
              <w:spacing w:after="20"/>
            </w:pPr>
            <w:r>
              <w:rPr>
                <w:rFonts w:ascii="Arial" w:hAnsi="Arial"/>
                <w:sz w:val="16"/>
              </w:rPr>
              <w:t>Lead conversion rate</w:t>
            </w:r>
          </w:p>
        </w:tc>
        <w:tc>
          <w:tcPr>
            <w:tcW w:type="dxa" w:w="5040"/>
            <w:vAlign w:val="center"/>
            <w:shd w:fill="EAF1F8"/>
          </w:tcPr>
          <w:p>
            <w:pPr>
              <w:spacing w:after="20"/>
            </w:pPr>
            <w:r>
              <w:rPr>
                <w:rFonts w:ascii="Arial" w:hAnsi="Arial"/>
                <w:sz w:val="16"/>
              </w:rPr>
              <w:t>Leads ÷ link clicks × 100</w:t>
            </w:r>
          </w:p>
        </w:tc>
      </w:tr>
      <w:tr>
        <w:tc>
          <w:tcPr>
            <w:tcW w:type="dxa" w:w="5040"/>
            <w:vAlign w:val="center"/>
          </w:tcPr>
          <w:p>
            <w:pPr>
              <w:spacing w:after="20"/>
            </w:pPr>
            <w:r>
              <w:rPr>
                <w:rFonts w:ascii="Arial" w:hAnsi="Arial"/>
                <w:sz w:val="16"/>
              </w:rPr>
              <w:t>Lead-to-purchase rate</w:t>
            </w:r>
          </w:p>
        </w:tc>
        <w:tc>
          <w:tcPr>
            <w:tcW w:type="dxa" w:w="5040"/>
            <w:vAlign w:val="center"/>
          </w:tcPr>
          <w:p>
            <w:pPr>
              <w:spacing w:after="20"/>
            </w:pPr>
            <w:r>
              <w:rPr>
                <w:rFonts w:ascii="Arial" w:hAnsi="Arial"/>
                <w:sz w:val="16"/>
              </w:rPr>
              <w:t>Purchases or paid enquiries ÷ leads × 100</w:t>
            </w:r>
          </w:p>
        </w:tc>
      </w:tr>
      <w:tr>
        <w:tc>
          <w:tcPr>
            <w:tcW w:type="dxa" w:w="5040"/>
            <w:vAlign w:val="center"/>
            <w:shd w:fill="EAF1F8"/>
          </w:tcPr>
          <w:p>
            <w:pPr>
              <w:spacing w:after="20"/>
            </w:pPr>
            <w:r>
              <w:rPr>
                <w:rFonts w:ascii="Arial" w:hAnsi="Arial"/>
                <w:sz w:val="16"/>
              </w:rPr>
              <w:t>Cost per lead</w:t>
            </w:r>
          </w:p>
        </w:tc>
        <w:tc>
          <w:tcPr>
            <w:tcW w:type="dxa" w:w="5040"/>
            <w:vAlign w:val="center"/>
            <w:shd w:fill="EAF1F8"/>
          </w:tcPr>
          <w:p>
            <w:pPr>
              <w:spacing w:after="20"/>
            </w:pPr>
            <w:r>
              <w:rPr>
                <w:rFonts w:ascii="Arial" w:hAnsi="Arial"/>
                <w:sz w:val="16"/>
              </w:rPr>
              <w:t>Paid-media spend ÷ attributed leads</w:t>
            </w:r>
          </w:p>
        </w:tc>
      </w:tr>
      <w:tr>
        <w:tc>
          <w:tcPr>
            <w:tcW w:type="dxa" w:w="5040"/>
            <w:vAlign w:val="center"/>
          </w:tcPr>
          <w:p>
            <w:pPr>
              <w:spacing w:after="20"/>
            </w:pPr>
            <w:r>
              <w:rPr>
                <w:rFonts w:ascii="Arial" w:hAnsi="Arial"/>
                <w:sz w:val="16"/>
              </w:rPr>
              <w:t>Approximate frequency</w:t>
            </w:r>
          </w:p>
        </w:tc>
        <w:tc>
          <w:tcPr>
            <w:tcW w:type="dxa" w:w="5040"/>
            <w:vAlign w:val="center"/>
          </w:tcPr>
          <w:p>
            <w:pPr>
              <w:spacing w:after="20"/>
            </w:pPr>
            <w:r>
              <w:rPr>
                <w:rFonts w:ascii="Arial" w:hAnsi="Arial"/>
                <w:sz w:val="16"/>
              </w:rPr>
              <w:t>Impressions ÷ reach</w:t>
            </w:r>
          </w:p>
        </w:tc>
      </w:tr>
    </w:tbl>
    <w:p/>
    <w:p>
      <w:pPr>
        <w:pStyle w:val="Heading1"/>
      </w:pPr>
      <w:r>
        <w:t>Appendix B: Assumptions and Limitations</w:t>
      </w:r>
    </w:p>
    <w:p>
      <w:pPr>
        <w:pStyle w:val="ListBullet"/>
      </w:pPr>
      <w:r>
        <w:t>All November 2026 figures are simulated for learning and assessment purposes.</w:t>
      </w:r>
    </w:p>
    <w:p>
      <w:pPr>
        <w:pStyle w:val="ListBullet"/>
      </w:pPr>
      <w:r>
        <w:t>Brand, content results, leads, purchases, and budget are illustrative, not verified commercial data.</w:t>
      </w:r>
    </w:p>
    <w:p>
      <w:pPr>
        <w:pStyle w:val="ListBullet"/>
      </w:pPr>
      <w:r>
        <w:t>Content-level reach can overlap; do not sum post-level reach to estimate unique account reach.</w:t>
      </w:r>
    </w:p>
    <w:p>
      <w:pPr>
        <w:pStyle w:val="ListBullet"/>
      </w:pPr>
      <w:r>
        <w:t>Platform metrics, attribution windows, and available features can vary by account and over time.</w:t>
      </w:r>
    </w:p>
    <w:p>
      <w:pPr>
        <w:pStyle w:val="ListBullet"/>
      </w:pPr>
      <w:r>
        <w:t>December goals should be reviewed in light of actual results, audience size, creative quality, and budget.</w:t>
      </w:r>
    </w:p>
    <w:p>
      <w:pPr>
        <w:pStyle w:val="Heading1"/>
      </w:pPr>
      <w:r>
        <w:t>Suggested References</w:t>
      </w:r>
    </w:p>
    <w:p>
      <w:r>
        <w:t>1. Instagram Help Center — Instagram Insights and professional account analytics: https://help.instagram.com/</w:t>
      </w:r>
    </w:p>
    <w:p>
      <w:r>
        <w:t>2. Meta Business Help Center — Advertising objectives and ad reporting: https://www.facebook.com/business/help</w:t>
      </w:r>
    </w:p>
    <w:p>
      <w:r>
        <w:t>3. Meta Blueprint — Digital advertising and campaign measurement resources: https://www.facebook.com/business/learn</w:t>
      </w:r>
    </w:p>
    <w:p>
      <w:r>
        <w:t>4. Google Analytics Help — Campaign URL tagging and UTM parameters: https://support.google.com/analytics/</w:t>
      </w:r>
    </w:p>
    <w:p>
      <w:r>
        <w:t>Reference note: Consult current documentation before implementation because platform features and reporting definitions can change.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6"/>
      </w:rPr>
      <w:t>PixelSpark Studio | Week 5 Performance Report &amp; Future Strategy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