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noVBand="0" w:noHBand="0" w:lastColumn="0" w:firstColumn="0" w:lastRow="0" w:firstRow="0"/>
      </w:tblPr>
      <w:tblGrid>
        <w:gridCol w:w="842"/>
        <w:gridCol w:w="2133"/>
        <w:gridCol w:w="2010"/>
        <w:gridCol w:w="1958"/>
        <w:gridCol w:w="1366"/>
        <w:gridCol w:w="1662"/>
      </w:tblGrid>
      <w:tr>
        <w:trPr/>
        <w:tc>
          <w:tcPr>
            <w:tcW w:w="84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Sl.no</w:t>
            </w:r>
          </w:p>
        </w:tc>
        <w:tc>
          <w:tcPr>
            <w:tcW w:w="213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Paper title</w:t>
            </w:r>
          </w:p>
        </w:tc>
        <w:tc>
          <w:tcPr>
            <w:tcW w:w="20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Authors</w:t>
            </w:r>
          </w:p>
        </w:tc>
        <w:tc>
          <w:tcPr>
            <w:tcW w:w="195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Concepts in paper</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Limitations found in the paper</w:t>
            </w:r>
          </w:p>
        </w:tc>
        <w:tc>
          <w:tcPr>
            <w:tcW w:w="1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Possible solutions</w:t>
            </w:r>
          </w:p>
        </w:tc>
      </w:tr>
      <w:tr>
        <w:trPr/>
        <w:tc>
          <w:tcPr>
            <w:tcW w:w="84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1.</w:t>
            </w:r>
          </w:p>
        </w:tc>
        <w:tc>
          <w:tcPr>
            <w:tcW w:w="213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Towards provenance and risk awareness in Social Computing</w:t>
            </w:r>
          </w:p>
        </w:tc>
        <w:tc>
          <w:tcPr>
            <w:tcW w:w="20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 xml:space="preserve">Yuan Chang, </w:t>
            </w:r>
          </w:p>
          <w:p>
            <w:pPr>
              <w:pStyle w:val="TableContents"/>
              <w:rPr>
                <w:rFonts w:ascii="Times New Roman" w:hAnsi="Times New Roman" w:cs="Times New Roman"/>
                <w:sz w:val="20"/>
                <w:szCs w:val="20"/>
              </w:rPr>
            </w:pPr>
            <w:r>
              <w:rPr>
                <w:rFonts w:cs="Times New Roman" w:ascii="Times New Roman" w:hAnsi="Times New Roman"/>
                <w:sz w:val="20"/>
                <w:szCs w:val="20"/>
              </w:rPr>
              <w:t>Dang Nguyen</w:t>
            </w:r>
          </w:p>
          <w:p>
            <w:pPr>
              <w:pStyle w:val="TableContents"/>
              <w:rPr>
                <w:rFonts w:ascii="Times New Roman" w:hAnsi="Times New Roman" w:cs="Times New Roman"/>
                <w:sz w:val="20"/>
                <w:szCs w:val="20"/>
              </w:rPr>
            </w:pPr>
            <w:r>
              <w:rPr>
                <w:rFonts w:cs="Times New Roman" w:ascii="Times New Roman" w:hAnsi="Times New Roman"/>
                <w:sz w:val="20"/>
                <w:szCs w:val="20"/>
              </w:rPr>
              <w:t>Ram Krishnan</w:t>
            </w:r>
          </w:p>
          <w:p>
            <w:pPr>
              <w:pStyle w:val="TableContents"/>
              <w:rPr>
                <w:rFonts w:ascii="Times New Roman" w:hAnsi="Times New Roman" w:cs="Times New Roman"/>
                <w:sz w:val="20"/>
                <w:szCs w:val="20"/>
              </w:rPr>
            </w:pPr>
            <w:r>
              <w:rPr>
                <w:rFonts w:cs="Times New Roman" w:ascii="Times New Roman" w:hAnsi="Times New Roman"/>
                <w:sz w:val="20"/>
                <w:szCs w:val="20"/>
              </w:rPr>
              <w:t>Ravi Sandhu</w:t>
            </w:r>
          </w:p>
        </w:tc>
        <w:tc>
          <w:tcPr>
            <w:tcW w:w="195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1.Need for appropriate methods for protecting the privacy and security of data.</w:t>
            </w:r>
          </w:p>
          <w:p>
            <w:pPr>
              <w:pStyle w:val="TableContents"/>
              <w:rPr>
                <w:rFonts w:ascii="Times New Roman" w:hAnsi="Times New Roman" w:cs="Times New Roman"/>
                <w:sz w:val="20"/>
                <w:szCs w:val="20"/>
              </w:rPr>
            </w:pPr>
            <w:r>
              <w:rPr>
                <w:rFonts w:cs="Times New Roman" w:ascii="Times New Roman" w:hAnsi="Times New Roman"/>
                <w:sz w:val="20"/>
                <w:szCs w:val="20"/>
              </w:rPr>
              <w:t>2.Incorporation of risk awareness in Social computing</w:t>
            </w:r>
          </w:p>
          <w:p>
            <w:pPr>
              <w:pStyle w:val="TableContents"/>
              <w:rPr>
                <w:rFonts w:ascii="Times New Roman" w:hAnsi="Times New Roman" w:cs="Times New Roman"/>
                <w:sz w:val="20"/>
                <w:szCs w:val="20"/>
              </w:rPr>
            </w:pPr>
            <w:r>
              <w:rPr>
                <w:rFonts w:cs="Times New Roman" w:ascii="Times New Roman" w:hAnsi="Times New Roman"/>
                <w:sz w:val="20"/>
                <w:szCs w:val="20"/>
              </w:rPr>
              <w:t>3.Risk and provenance awareness is required for access control in Social Computing.</w:t>
            </w:r>
          </w:p>
          <w:p>
            <w:pPr>
              <w:pStyle w:val="TableContents"/>
              <w:rPr>
                <w:rFonts w:ascii="Times New Roman" w:hAnsi="Times New Roman" w:cs="Times New Roman"/>
                <w:sz w:val="20"/>
                <w:szCs w:val="20"/>
              </w:rPr>
            </w:pPr>
            <w:r>
              <w:rPr>
                <w:rFonts w:cs="Times New Roman" w:ascii="Times New Roman" w:hAnsi="Times New Roman"/>
                <w:sz w:val="20"/>
                <w:szCs w:val="20"/>
              </w:rPr>
              <w:t xml:space="preserve"> </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t>NIL</w:t>
            </w:r>
          </w:p>
        </w:tc>
        <w:tc>
          <w:tcPr>
            <w:tcW w:w="1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t>NIL</w:t>
            </w:r>
          </w:p>
        </w:tc>
      </w:tr>
      <w:tr>
        <w:trPr/>
        <w:tc>
          <w:tcPr>
            <w:tcW w:w="84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2.</w:t>
            </w:r>
          </w:p>
        </w:tc>
        <w:tc>
          <w:tcPr>
            <w:tcW w:w="213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Social Computing: Privacy Concerns</w:t>
            </w:r>
          </w:p>
        </w:tc>
        <w:tc>
          <w:tcPr>
            <w:tcW w:w="20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Oded Nov, Sunil Wattal</w:t>
            </w:r>
          </w:p>
        </w:tc>
        <w:tc>
          <w:tcPr>
            <w:tcW w:w="195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1.Collection and sharing of personal information raises concerns of privacy.</w:t>
            </w:r>
          </w:p>
          <w:p>
            <w:pPr>
              <w:pStyle w:val="TableContents"/>
              <w:rPr>
                <w:rFonts w:ascii="Times New Roman" w:hAnsi="Times New Roman" w:cs="Times New Roman"/>
                <w:sz w:val="20"/>
                <w:szCs w:val="20"/>
              </w:rPr>
            </w:pPr>
            <w:r>
              <w:rPr>
                <w:rFonts w:cs="Times New Roman" w:ascii="Times New Roman" w:hAnsi="Times New Roman"/>
                <w:sz w:val="20"/>
                <w:szCs w:val="20"/>
              </w:rPr>
              <w:t>2.Extend prior research on internet privacy</w:t>
            </w:r>
          </w:p>
          <w:p>
            <w:pPr>
              <w:pStyle w:val="TableContents"/>
              <w:rPr>
                <w:rFonts w:ascii="Times New Roman" w:hAnsi="Times New Roman" w:cs="Times New Roman"/>
                <w:sz w:val="20"/>
                <w:szCs w:val="20"/>
              </w:rPr>
            </w:pPr>
            <w:r>
              <w:rPr>
                <w:rFonts w:cs="Times New Roman" w:ascii="Times New Roman" w:hAnsi="Times New Roman"/>
                <w:sz w:val="20"/>
                <w:szCs w:val="20"/>
              </w:rPr>
              <w:t>3.Users’ trust in community members and community-specific sharing norms to be considered.</w:t>
            </w:r>
          </w:p>
          <w:p>
            <w:pPr>
              <w:pStyle w:val="TableContents"/>
              <w:rPr>
                <w:rFonts w:ascii="Times New Roman" w:hAnsi="Times New Roman" w:cs="Times New Roman"/>
                <w:sz w:val="20"/>
                <w:szCs w:val="20"/>
              </w:rPr>
            </w:pPr>
            <w:r>
              <w:rPr>
                <w:rFonts w:cs="Times New Roman" w:ascii="Times New Roman" w:hAnsi="Times New Roman"/>
                <w:sz w:val="20"/>
                <w:szCs w:val="20"/>
              </w:rPr>
              <w:t>4.Information sharing is impacted by network centrality and tenure of the user in community</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t>NIL</w:t>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1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t>NIL</w:t>
            </w:r>
          </w:p>
          <w:p>
            <w:pPr>
              <w:pStyle w:val="TableContents"/>
              <w:rPr>
                <w:rFonts w:ascii="Times New Roman" w:hAnsi="Times New Roman" w:cs="Times New Roman"/>
                <w:sz w:val="20"/>
                <w:szCs w:val="20"/>
              </w:rPr>
            </w:pPr>
            <w:r>
              <w:rPr>
                <w:rFonts w:cs="Times New Roman" w:ascii="Times New Roman" w:hAnsi="Times New Roman"/>
                <w:sz w:val="20"/>
                <w:szCs w:val="20"/>
              </w:rPr>
            </w:r>
          </w:p>
        </w:tc>
      </w:tr>
      <w:tr>
        <w:trPr/>
        <w:tc>
          <w:tcPr>
            <w:tcW w:w="84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3.</w:t>
            </w:r>
          </w:p>
        </w:tc>
        <w:tc>
          <w:tcPr>
            <w:tcW w:w="213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The Benefit of Facebook “Friends”</w:t>
            </w:r>
          </w:p>
        </w:tc>
        <w:tc>
          <w:tcPr>
            <w:tcW w:w="20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Nicole Ellison,</w:t>
            </w:r>
          </w:p>
          <w:p>
            <w:pPr>
              <w:pStyle w:val="TableContents"/>
              <w:rPr>
                <w:rFonts w:ascii="Times New Roman" w:hAnsi="Times New Roman" w:cs="Times New Roman"/>
                <w:sz w:val="20"/>
                <w:szCs w:val="20"/>
              </w:rPr>
            </w:pPr>
            <w:r>
              <w:rPr>
                <w:rFonts w:cs="Times New Roman" w:ascii="Times New Roman" w:hAnsi="Times New Roman"/>
                <w:sz w:val="20"/>
                <w:szCs w:val="20"/>
              </w:rPr>
              <w:t>Charles Steinfeild,</w:t>
            </w:r>
          </w:p>
          <w:p>
            <w:pPr>
              <w:pStyle w:val="TableContents"/>
              <w:rPr>
                <w:rFonts w:ascii="Times New Roman" w:hAnsi="Times New Roman" w:cs="Times New Roman"/>
                <w:sz w:val="20"/>
                <w:szCs w:val="20"/>
              </w:rPr>
            </w:pPr>
            <w:r>
              <w:rPr>
                <w:rFonts w:cs="Times New Roman" w:ascii="Times New Roman" w:hAnsi="Times New Roman"/>
                <w:sz w:val="20"/>
                <w:szCs w:val="20"/>
              </w:rPr>
              <w:t>Cliff Lampe</w:t>
            </w:r>
          </w:p>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195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1.Study examines the relationship between use of Facebook and the formation of social capital.</w:t>
            </w:r>
          </w:p>
          <w:p>
            <w:pPr>
              <w:pStyle w:val="TableContents"/>
              <w:rPr>
                <w:rFonts w:ascii="Times New Roman" w:hAnsi="Times New Roman" w:cs="Times New Roman"/>
                <w:sz w:val="20"/>
                <w:szCs w:val="20"/>
              </w:rPr>
            </w:pPr>
            <w:r>
              <w:rPr>
                <w:rFonts w:cs="Times New Roman" w:ascii="Times New Roman" w:hAnsi="Times New Roman"/>
                <w:sz w:val="20"/>
                <w:szCs w:val="20"/>
              </w:rPr>
              <w:t>2.Assessing bonding and bridging  Social capital.</w:t>
            </w:r>
          </w:p>
          <w:p>
            <w:pPr>
              <w:pStyle w:val="TableContents"/>
              <w:rPr>
                <w:rFonts w:ascii="Times New Roman" w:hAnsi="Times New Roman" w:cs="Times New Roman"/>
                <w:sz w:val="20"/>
                <w:szCs w:val="20"/>
              </w:rPr>
            </w:pPr>
            <w:r>
              <w:rPr>
                <w:rFonts w:cs="Times New Roman" w:ascii="Times New Roman" w:hAnsi="Times New Roman"/>
                <w:sz w:val="20"/>
                <w:szCs w:val="20"/>
              </w:rPr>
              <w:t>3.Facebook usage found to be linked to psychological well being.</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t>NIL</w:t>
            </w:r>
          </w:p>
        </w:tc>
        <w:tc>
          <w:tcPr>
            <w:tcW w:w="1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t>NIL</w:t>
            </w:r>
          </w:p>
        </w:tc>
      </w:tr>
      <w:tr>
        <w:trPr/>
        <w:tc>
          <w:tcPr>
            <w:tcW w:w="84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4.</w:t>
            </w:r>
          </w:p>
        </w:tc>
        <w:tc>
          <w:tcPr>
            <w:tcW w:w="213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Using Social Networking sites</w:t>
            </w:r>
          </w:p>
        </w:tc>
        <w:tc>
          <w:tcPr>
            <w:tcW w:w="20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Mangal" w:cstheme="minorBidi"/>
                <w:sz w:val="20"/>
                <w:szCs w:val="20"/>
              </w:rPr>
            </w:pPr>
            <w:r>
              <w:rPr>
                <w:rFonts w:cs="Times New Roman" w:ascii="Times New Roman" w:hAnsi="Times New Roman"/>
                <w:sz w:val="20"/>
                <w:szCs w:val="20"/>
              </w:rPr>
              <w:t xml:space="preserve">Deb </w:t>
            </w:r>
            <w:r>
              <w:rPr>
                <w:rFonts w:cs="Mangal" w:ascii="Times New Roman" w:hAnsi="Times New Roman" w:cstheme="minorBidi"/>
                <w:sz w:val="20"/>
                <w:szCs w:val="20"/>
              </w:rPr>
              <w:t>Sledgianowski,</w:t>
            </w:r>
          </w:p>
          <w:p>
            <w:pPr>
              <w:pStyle w:val="TableContents"/>
              <w:rPr>
                <w:rFonts w:ascii="Times New Roman" w:hAnsi="Times New Roman" w:cs="Mangal" w:cstheme="minorBidi"/>
                <w:sz w:val="20"/>
                <w:szCs w:val="20"/>
              </w:rPr>
            </w:pPr>
            <w:r>
              <w:rPr>
                <w:rFonts w:cs="Mangal" w:ascii="Times New Roman" w:hAnsi="Times New Roman" w:cstheme="minorBidi"/>
                <w:sz w:val="20"/>
                <w:szCs w:val="20"/>
              </w:rPr>
              <w:t>Songpol Kulviwat</w:t>
            </w:r>
          </w:p>
        </w:tc>
        <w:tc>
          <w:tcPr>
            <w:tcW w:w="195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1.Internet social network sites have become an international phenomenon.</w:t>
            </w:r>
          </w:p>
          <w:p>
            <w:pPr>
              <w:pStyle w:val="TableContents"/>
              <w:rPr>
                <w:rFonts w:ascii="Times New Roman" w:hAnsi="Times New Roman" w:cs="Times New Roman"/>
                <w:sz w:val="20"/>
                <w:szCs w:val="20"/>
              </w:rPr>
            </w:pPr>
            <w:r>
              <w:rPr>
                <w:rFonts w:cs="Times New Roman" w:ascii="Times New Roman" w:hAnsi="Times New Roman"/>
                <w:sz w:val="20"/>
                <w:szCs w:val="20"/>
              </w:rPr>
              <w:t>2.Popular sites include MySpace and Facebook.</w:t>
            </w:r>
          </w:p>
          <w:p>
            <w:pPr>
              <w:pStyle w:val="TableContents"/>
              <w:rPr>
                <w:rFonts w:ascii="Times New Roman" w:hAnsi="Times New Roman" w:cs="Times New Roman"/>
                <w:sz w:val="20"/>
                <w:szCs w:val="20"/>
              </w:rPr>
            </w:pPr>
            <w:r>
              <w:rPr>
                <w:rFonts w:cs="Times New Roman" w:ascii="Times New Roman" w:hAnsi="Times New Roman"/>
                <w:sz w:val="20"/>
                <w:szCs w:val="20"/>
              </w:rPr>
              <w:t>3.Introduce Social Network Site Adoption model to examine playfulness, usefulness, trust and ease on usage intention.</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t>NIL</w:t>
            </w:r>
          </w:p>
        </w:tc>
        <w:tc>
          <w:tcPr>
            <w:tcW w:w="1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t>NIL</w:t>
            </w:r>
          </w:p>
          <w:p>
            <w:pPr>
              <w:pStyle w:val="TableContents"/>
              <w:rPr>
                <w:rFonts w:ascii="Times New Roman" w:hAnsi="Times New Roman" w:cs="Times New Roman"/>
                <w:sz w:val="20"/>
                <w:szCs w:val="20"/>
              </w:rPr>
            </w:pPr>
            <w:r>
              <w:rPr>
                <w:rFonts w:cs="Times New Roman" w:ascii="Times New Roman" w:hAnsi="Times New Roman"/>
                <w:sz w:val="20"/>
                <w:szCs w:val="20"/>
              </w:rPr>
            </w:r>
          </w:p>
        </w:tc>
      </w:tr>
      <w:tr>
        <w:trPr/>
        <w:tc>
          <w:tcPr>
            <w:tcW w:w="84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5.</w:t>
            </w:r>
          </w:p>
        </w:tc>
        <w:tc>
          <w:tcPr>
            <w:tcW w:w="213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Internet Social Network Communities</w:t>
            </w:r>
          </w:p>
        </w:tc>
        <w:tc>
          <w:tcPr>
            <w:tcW w:w="20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Joshua Fogel,</w:t>
            </w:r>
          </w:p>
          <w:p>
            <w:pPr>
              <w:pStyle w:val="TableContents"/>
              <w:rPr>
                <w:rFonts w:ascii="Times New Roman" w:hAnsi="Times New Roman" w:cs="Times New Roman"/>
                <w:sz w:val="20"/>
                <w:szCs w:val="20"/>
              </w:rPr>
            </w:pPr>
            <w:r>
              <w:rPr>
                <w:rFonts w:cs="Times New Roman" w:ascii="Times New Roman" w:hAnsi="Times New Roman"/>
                <w:sz w:val="20"/>
                <w:szCs w:val="20"/>
              </w:rPr>
              <w:t>Elham Nehmad</w:t>
            </w:r>
          </w:p>
        </w:tc>
        <w:tc>
          <w:tcPr>
            <w:tcW w:w="195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t>1.Individuals communicate and form relations through social networking sites</w:t>
            </w:r>
          </w:p>
          <w:p>
            <w:pPr>
              <w:pStyle w:val="TableContents"/>
              <w:rPr>
                <w:rFonts w:ascii="Times New Roman" w:hAnsi="Times New Roman" w:cs="Times New Roman"/>
                <w:sz w:val="20"/>
                <w:szCs w:val="20"/>
              </w:rPr>
            </w:pPr>
            <w:r>
              <w:rPr>
                <w:rFonts w:cs="Times New Roman" w:ascii="Times New Roman" w:hAnsi="Times New Roman"/>
                <w:sz w:val="20"/>
                <w:szCs w:val="20"/>
              </w:rPr>
              <w:t>2.Individuals with profiles on Social Networking websites have greater risk taking attitudes</w:t>
            </w:r>
          </w:p>
          <w:p>
            <w:pPr>
              <w:pStyle w:val="TableContents"/>
              <w:rPr>
                <w:rFonts w:ascii="Times New Roman" w:hAnsi="Times New Roman" w:cs="Times New Roman"/>
                <w:sz w:val="20"/>
                <w:szCs w:val="20"/>
              </w:rPr>
            </w:pPr>
            <w:r>
              <w:rPr>
                <w:rFonts w:cs="Times New Roman" w:ascii="Times New Roman" w:hAnsi="Times New Roman"/>
                <w:sz w:val="20"/>
                <w:szCs w:val="20"/>
              </w:rPr>
              <w:t>3.General privacy concerns and identity information disclosure concerns are of greater concern for women than men.</w:t>
            </w:r>
          </w:p>
          <w:p>
            <w:pPr>
              <w:pStyle w:val="TableContents"/>
              <w:rPr>
                <w:rFonts w:ascii="Times New Roman" w:hAnsi="Times New Roman" w:cs="Times New Roman"/>
                <w:sz w:val="20"/>
                <w:szCs w:val="20"/>
              </w:rPr>
            </w:pPr>
            <w:r>
              <w:rPr>
                <w:rFonts w:cs="Times New Roman" w:ascii="Times New Roman" w:hAnsi="Times New Roman"/>
                <w:sz w:val="20"/>
                <w:szCs w:val="20"/>
              </w:rPr>
              <w:t>4. Facebook has greater sense of trust than MySpace.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t>NIL</w:t>
            </w:r>
          </w:p>
        </w:tc>
        <w:tc>
          <w:tcPr>
            <w:tcW w:w="1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rPr>
                <w:rFonts w:ascii="Times New Roman" w:hAnsi="Times New Roman" w:cs="Times New Roman"/>
                <w:sz w:val="20"/>
                <w:szCs w:val="20"/>
              </w:rPr>
            </w:pPr>
            <w:r>
              <w:rPr>
                <w:rFonts w:cs="Times New Roman" w:ascii="Times New Roman" w:hAnsi="Times New Roman"/>
                <w:sz w:val="20"/>
                <w:szCs w:val="20"/>
              </w:rPr>
            </w:r>
          </w:p>
          <w:p>
            <w:pPr>
              <w:pStyle w:val="TableContents"/>
              <w:jc w:val="center"/>
              <w:rPr>
                <w:rFonts w:ascii="Times New Roman" w:hAnsi="Times New Roman" w:cs="Times New Roman"/>
                <w:sz w:val="20"/>
                <w:szCs w:val="20"/>
              </w:rPr>
            </w:pPr>
            <w:r>
              <w:rPr>
                <w:rFonts w:cs="Times New Roman" w:ascii="Times New Roman" w:hAnsi="Times New Roman"/>
                <w:sz w:val="20"/>
                <w:szCs w:val="20"/>
              </w:rPr>
              <w:t>NIL</w:t>
            </w:r>
          </w:p>
        </w:tc>
      </w:tr>
      <w:tr>
        <w:trPr/>
        <w:tc>
          <w:tcPr>
            <w:tcW w:w="842"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6.</w:t>
            </w:r>
          </w:p>
        </w:tc>
        <w:tc>
          <w:tcPr>
            <w:tcW w:w="2133"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Social Computing: An Overview</w:t>
            </w:r>
          </w:p>
        </w:tc>
        <w:tc>
          <w:tcPr>
            <w:tcW w:w="2010"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Manoj Parameswaran</w:t>
            </w:r>
          </w:p>
          <w:p>
            <w:pPr>
              <w:pStyle w:val="TableContents"/>
              <w:rPr>
                <w:sz w:val="20"/>
                <w:szCs w:val="20"/>
              </w:rPr>
            </w:pPr>
            <w:r>
              <w:rPr>
                <w:sz w:val="20"/>
                <w:szCs w:val="20"/>
              </w:rPr>
            </w:r>
          </w:p>
          <w:p>
            <w:pPr>
              <w:pStyle w:val="TableContents"/>
              <w:rPr>
                <w:sz w:val="20"/>
                <w:szCs w:val="20"/>
              </w:rPr>
            </w:pPr>
            <w:r>
              <w:rPr>
                <w:sz w:val="20"/>
                <w:szCs w:val="20"/>
              </w:rPr>
              <w:t>Andrew B. Whinston</w:t>
            </w:r>
          </w:p>
        </w:tc>
        <w:tc>
          <w:tcPr>
            <w:tcW w:w="1958"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 xml:space="preserve">This paper reviewed some of the new business opportunities that arise from social computing.Mobile information spaces surround users, whose identities may converge across platforms and applications. Such information spaces also appeal to businesses and customers, the former being enabled to assess preferences better and more dynamically, and the latter deriving enhanced value from more customization and bundling. </w:t>
            </w:r>
          </w:p>
        </w:tc>
        <w:tc>
          <w:tcPr>
            <w:tcW w:w="1366"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 xml:space="preserve">Social software raises the possibility of malicious or criminal communities which can use the anonymity, fault tolerance, robustness, and low cost of online communities to build very effective platforms for interaction, communication, and knowledge sharing, while flying under the radar. </w:t>
            </w:r>
          </w:p>
        </w:tc>
        <w:tc>
          <w:tcPr>
            <w:tcW w:w="1662"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sz w:val="20"/>
                <w:szCs w:val="20"/>
              </w:rPr>
            </w:pPr>
            <w:r>
              <w:rPr>
                <w:sz w:val="20"/>
                <w:szCs w:val="20"/>
              </w:rPr>
              <w:t>NIL</w:t>
            </w:r>
          </w:p>
        </w:tc>
      </w:tr>
      <w:tr>
        <w:trPr/>
        <w:tc>
          <w:tcPr>
            <w:tcW w:w="842"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7.</w:t>
            </w:r>
          </w:p>
        </w:tc>
        <w:tc>
          <w:tcPr>
            <w:tcW w:w="2133"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The Next Paradigm Shift in the Mobile Ecosystem: Mobile Social Computing and the Increasing Relevance of Users</w:t>
            </w:r>
          </w:p>
        </w:tc>
        <w:tc>
          <w:tcPr>
            <w:tcW w:w="2010"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Claudio FEIJÓO, Corina PASCU, Gianluca MISURACA, Wainer LUSOLI</w:t>
            </w:r>
          </w:p>
        </w:tc>
        <w:tc>
          <w:tcPr>
            <w:tcW w:w="1958"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U</w:t>
            </w:r>
            <w:r>
              <w:rPr>
                <w:sz w:val="20"/>
                <w:szCs w:val="20"/>
              </w:rPr>
              <w:t xml:space="preserve">sers are no longer passive consumers and have the possibility to become creators of content or to contribute to social networks, but mainly because they will put the many situations of their real daily lives at the core of mobile usage, using the mobile device as a tool between the real and the information/content/applications domains. </w:t>
            </w:r>
          </w:p>
        </w:tc>
        <w:tc>
          <w:tcPr>
            <w:tcW w:w="1366"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T</w:t>
            </w:r>
            <w:r>
              <w:rPr>
                <w:sz w:val="20"/>
                <w:szCs w:val="20"/>
              </w:rPr>
              <w:t>hree main challenges persist - how to tackle the complexity of their personal involvement, the unresolved issue of their impact on the mobile value chain and business models, and meeting their expectations while safeguarding their trust.</w:t>
            </w:r>
          </w:p>
        </w:tc>
        <w:tc>
          <w:tcPr>
            <w:tcW w:w="1662"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sz w:val="20"/>
                <w:szCs w:val="20"/>
              </w:rPr>
            </w:pPr>
            <w:r>
              <w:rPr>
                <w:sz w:val="20"/>
                <w:szCs w:val="20"/>
              </w:rPr>
              <w:t>NIL</w:t>
            </w:r>
          </w:p>
        </w:tc>
      </w:tr>
      <w:tr>
        <w:trPr/>
        <w:tc>
          <w:tcPr>
            <w:tcW w:w="842"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8.</w:t>
            </w:r>
          </w:p>
        </w:tc>
        <w:tc>
          <w:tcPr>
            <w:tcW w:w="2133" w:type="dxa"/>
            <w:tcBorders>
              <w:left w:val="single" w:sz="2" w:space="0" w:color="000001"/>
              <w:bottom w:val="single" w:sz="2" w:space="0" w:color="000001"/>
              <w:insideH w:val="single" w:sz="2" w:space="0" w:color="000001"/>
            </w:tcBorders>
            <w:shd w:color="auto" w:fill="auto" w:val="clear"/>
            <w:tcMar>
              <w:left w:w="51" w:type="dxa"/>
            </w:tcMar>
          </w:tcPr>
          <w:p>
            <w:pPr>
              <w:pStyle w:val="Heading1"/>
              <w:widowControl/>
              <w:pBdr/>
              <w:spacing w:lineRule="auto" w:line="240" w:before="48" w:after="153"/>
              <w:ind w:left="0" w:right="0" w:hanging="0"/>
              <w:rPr>
                <w:rFonts w:ascii="Liberation Serif" w:hAnsi="Liberation Serif"/>
                <w:b w:val="false"/>
                <w:i w:val="false"/>
                <w:caps w:val="false"/>
                <w:smallCaps w:val="false"/>
                <w:color w:val="333333"/>
                <w:spacing w:val="0"/>
                <w:sz w:val="20"/>
                <w:szCs w:val="20"/>
                <w:lang w:val="en-US"/>
              </w:rPr>
            </w:pPr>
            <w:r>
              <w:rPr>
                <w:rFonts w:ascii="Liberation Serif" w:hAnsi="Liberation Serif"/>
                <w:b w:val="false"/>
                <w:i w:val="false"/>
                <w:caps w:val="false"/>
                <w:smallCaps w:val="false"/>
                <w:color w:val="333333"/>
                <w:spacing w:val="0"/>
                <w:sz w:val="20"/>
                <w:szCs w:val="20"/>
                <w:lang w:val="en-US"/>
              </w:rPr>
              <w:t>Motivating participation in social computing applications: a user modeling perspective</w:t>
            </w:r>
          </w:p>
          <w:p>
            <w:pPr>
              <w:pStyle w:val="TableContents"/>
              <w:rPr>
                <w:sz w:val="20"/>
                <w:szCs w:val="20"/>
              </w:rPr>
            </w:pPr>
            <w:r>
              <w:rPr>
                <w:sz w:val="20"/>
                <w:szCs w:val="20"/>
              </w:rPr>
            </w:r>
          </w:p>
        </w:tc>
        <w:tc>
          <w:tcPr>
            <w:tcW w:w="2010"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Julita Vassileva</w:t>
            </w:r>
          </w:p>
        </w:tc>
        <w:tc>
          <w:tcPr>
            <w:tcW w:w="1958"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T</w:t>
            </w:r>
            <w:r>
              <w:rPr>
                <w:sz w:val="20"/>
                <w:szCs w:val="20"/>
              </w:rPr>
              <w:t>o incorporate mechanisms and tools in the design of the social application that can motivate users to participate, and more generally, to change their behavior in a desirable way, which is beneficial for the community.</w:t>
            </w:r>
          </w:p>
        </w:tc>
        <w:tc>
          <w:tcPr>
            <w:tcW w:w="1366"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Challenge in creating an appropriate market model for the community.  Challenge in designing the user view of the mechanism. Challenge in adapting at run time the parameters of the mechanism</w:t>
            </w:r>
          </w:p>
        </w:tc>
        <w:tc>
          <w:tcPr>
            <w:tcW w:w="1662"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sz w:val="20"/>
                <w:szCs w:val="20"/>
              </w:rPr>
            </w:pPr>
            <w:r>
              <w:rPr>
                <w:sz w:val="20"/>
                <w:szCs w:val="20"/>
              </w:rPr>
              <w:t>NIL</w:t>
            </w:r>
          </w:p>
        </w:tc>
      </w:tr>
      <w:tr>
        <w:trPr/>
        <w:tc>
          <w:tcPr>
            <w:tcW w:w="842"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9.</w:t>
            </w:r>
          </w:p>
        </w:tc>
        <w:tc>
          <w:tcPr>
            <w:tcW w:w="2133" w:type="dxa"/>
            <w:tcBorders>
              <w:left w:val="single" w:sz="2" w:space="0" w:color="000001"/>
              <w:bottom w:val="single" w:sz="2" w:space="0" w:color="000001"/>
              <w:insideH w:val="single" w:sz="2" w:space="0" w:color="000001"/>
            </w:tcBorders>
            <w:shd w:color="auto" w:fill="auto" w:val="clear"/>
            <w:tcMar>
              <w:left w:w="51" w:type="dxa"/>
            </w:tcMar>
          </w:tcPr>
          <w:p>
            <w:pPr>
              <w:pStyle w:val="Heading1"/>
              <w:widowControl/>
              <w:pBdr/>
              <w:spacing w:lineRule="auto" w:line="240" w:before="48" w:after="153"/>
              <w:ind w:left="0" w:right="0" w:hanging="0"/>
              <w:rPr>
                <w:rFonts w:ascii="Liberation Serif" w:hAnsi="Liberation Serif"/>
                <w:b w:val="false"/>
                <w:i w:val="false"/>
                <w:caps w:val="false"/>
                <w:smallCaps w:val="false"/>
                <w:color w:val="333333"/>
                <w:spacing w:val="0"/>
                <w:sz w:val="20"/>
                <w:szCs w:val="20"/>
                <w:lang w:val="en-US"/>
              </w:rPr>
            </w:pPr>
            <w:r>
              <w:rPr>
                <w:rFonts w:ascii="Liberation Serif" w:hAnsi="Liberation Serif"/>
                <w:b w:val="false"/>
                <w:i w:val="false"/>
                <w:caps w:val="false"/>
                <w:smallCaps w:val="false"/>
                <w:color w:val="333333"/>
                <w:spacing w:val="0"/>
                <w:sz w:val="20"/>
                <w:szCs w:val="20"/>
                <w:lang w:val="en-US"/>
              </w:rPr>
              <w:t xml:space="preserve">Research Issues in Social Computing </w:t>
            </w:r>
          </w:p>
        </w:tc>
        <w:tc>
          <w:tcPr>
            <w:tcW w:w="2010"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 xml:space="preserve">Manoj Parameswaran </w:t>
            </w:r>
          </w:p>
          <w:p>
            <w:pPr>
              <w:pStyle w:val="TableContents"/>
              <w:rPr>
                <w:sz w:val="20"/>
                <w:szCs w:val="20"/>
              </w:rPr>
            </w:pPr>
            <w:r>
              <w:rPr>
                <w:sz w:val="20"/>
                <w:szCs w:val="20"/>
              </w:rPr>
              <w:t xml:space="preserve">Andrew B Whinston </w:t>
            </w:r>
          </w:p>
        </w:tc>
        <w:tc>
          <w:tcPr>
            <w:tcW w:w="1958"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 xml:space="preserve">1. </w:t>
            </w:r>
            <w:r>
              <w:rPr>
                <w:sz w:val="20"/>
                <w:szCs w:val="20"/>
              </w:rPr>
              <w:t>Organizational Form and Social Computing</w:t>
            </w:r>
          </w:p>
          <w:p>
            <w:pPr>
              <w:pStyle w:val="TableContents"/>
              <w:rPr>
                <w:sz w:val="20"/>
                <w:szCs w:val="20"/>
              </w:rPr>
            </w:pPr>
            <w:r>
              <w:rPr>
                <w:sz w:val="20"/>
                <w:szCs w:val="20"/>
              </w:rPr>
              <w:t xml:space="preserve">2. </w:t>
            </w:r>
            <w:r>
              <w:rPr>
                <w:sz w:val="20"/>
                <w:szCs w:val="20"/>
              </w:rPr>
              <w:t xml:space="preserve">Governance Structures </w:t>
            </w:r>
          </w:p>
          <w:p>
            <w:pPr>
              <w:pStyle w:val="TableContents"/>
              <w:rPr>
                <w:sz w:val="20"/>
                <w:szCs w:val="20"/>
              </w:rPr>
            </w:pPr>
            <w:r>
              <w:rPr>
                <w:sz w:val="20"/>
                <w:szCs w:val="20"/>
              </w:rPr>
              <w:t xml:space="preserve">3. </w:t>
            </w:r>
            <w:r>
              <w:rPr>
                <w:sz w:val="20"/>
                <w:szCs w:val="20"/>
              </w:rPr>
              <w:t>Intellectual Property Rights</w:t>
            </w:r>
          </w:p>
          <w:p>
            <w:pPr>
              <w:pStyle w:val="TableContents"/>
              <w:rPr>
                <w:sz w:val="20"/>
                <w:szCs w:val="20"/>
              </w:rPr>
            </w:pPr>
            <w:r>
              <w:rPr>
                <w:sz w:val="20"/>
                <w:szCs w:val="20"/>
              </w:rPr>
              <w:t xml:space="preserve">4. </w:t>
            </w:r>
            <w:r>
              <w:rPr>
                <w:sz w:val="20"/>
                <w:szCs w:val="20"/>
              </w:rPr>
              <w:t xml:space="preserve">Motivation for Participation </w:t>
            </w:r>
          </w:p>
          <w:p>
            <w:pPr>
              <w:pStyle w:val="TableContents"/>
              <w:rPr>
                <w:sz w:val="20"/>
                <w:szCs w:val="20"/>
              </w:rPr>
            </w:pPr>
            <w:r>
              <w:rPr>
                <w:sz w:val="20"/>
                <w:szCs w:val="20"/>
              </w:rPr>
              <w:t xml:space="preserve">5. </w:t>
            </w:r>
            <w:r>
              <w:rPr>
                <w:sz w:val="20"/>
                <w:szCs w:val="20"/>
              </w:rPr>
              <w:t>Cooperation and Altruism</w:t>
            </w:r>
          </w:p>
        </w:tc>
        <w:tc>
          <w:tcPr>
            <w:tcW w:w="1366"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NIL</w:t>
            </w:r>
          </w:p>
        </w:tc>
        <w:tc>
          <w:tcPr>
            <w:tcW w:w="1662"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sz w:val="20"/>
                <w:szCs w:val="20"/>
              </w:rPr>
            </w:pPr>
            <w:r>
              <w:rPr>
                <w:sz w:val="20"/>
                <w:szCs w:val="20"/>
              </w:rPr>
              <w:t>NIL</w:t>
            </w:r>
          </w:p>
        </w:tc>
      </w:tr>
      <w:tr>
        <w:trPr/>
        <w:tc>
          <w:tcPr>
            <w:tcW w:w="842"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10.</w:t>
            </w:r>
          </w:p>
        </w:tc>
        <w:tc>
          <w:tcPr>
            <w:tcW w:w="2133" w:type="dxa"/>
            <w:tcBorders>
              <w:left w:val="single" w:sz="2" w:space="0" w:color="000001"/>
              <w:bottom w:val="single" w:sz="2" w:space="0" w:color="000001"/>
              <w:insideH w:val="single" w:sz="2" w:space="0" w:color="000001"/>
            </w:tcBorders>
            <w:shd w:color="auto" w:fill="auto" w:val="clear"/>
            <w:tcMar>
              <w:left w:w="51" w:type="dxa"/>
            </w:tcMar>
          </w:tcPr>
          <w:p>
            <w:pPr>
              <w:pStyle w:val="Heading1"/>
              <w:widowControl/>
              <w:pBdr/>
              <w:spacing w:lineRule="auto" w:line="240" w:before="48" w:after="153"/>
              <w:ind w:left="0" w:right="0" w:hanging="0"/>
              <w:rPr>
                <w:rFonts w:ascii="Liberation Serif" w:hAnsi="Liberation Serif"/>
                <w:b w:val="false"/>
                <w:i w:val="false"/>
                <w:caps w:val="false"/>
                <w:smallCaps w:val="false"/>
                <w:color w:val="333333"/>
                <w:spacing w:val="0"/>
                <w:sz w:val="20"/>
                <w:szCs w:val="20"/>
                <w:lang w:val="en-US"/>
              </w:rPr>
            </w:pPr>
            <w:r>
              <w:rPr>
                <w:rFonts w:ascii="Liberation Serif" w:hAnsi="Liberation Serif"/>
                <w:b w:val="false"/>
                <w:i w:val="false"/>
                <w:caps w:val="false"/>
                <w:smallCaps w:val="false"/>
                <w:color w:val="333333"/>
                <w:spacing w:val="0"/>
                <w:sz w:val="20"/>
                <w:szCs w:val="20"/>
                <w:lang w:val="en-US"/>
              </w:rPr>
              <w:t>SCADS: Scale-Independent Storage for Social Computing Application</w:t>
            </w:r>
            <w:r>
              <w:rPr>
                <w:rFonts w:ascii="Liberation Serif" w:hAnsi="Liberation Serif"/>
                <w:b w:val="false"/>
                <w:i w:val="false"/>
                <w:caps w:val="false"/>
                <w:smallCaps w:val="false"/>
                <w:color w:val="333333"/>
                <w:spacing w:val="0"/>
                <w:sz w:val="20"/>
                <w:szCs w:val="20"/>
                <w:lang w:val="en-US"/>
              </w:rPr>
              <w:t>s</w:t>
            </w:r>
          </w:p>
        </w:tc>
        <w:tc>
          <w:tcPr>
            <w:tcW w:w="2010"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Michael Armbrust, Armando Fox, David A. Patterson, Nick Lanham, Beth Trushkowsky, Jesse Trutna, and Haruki Oh</w:t>
            </w:r>
          </w:p>
        </w:tc>
        <w:tc>
          <w:tcPr>
            <w:tcW w:w="1958"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 xml:space="preserve">1. </w:t>
            </w:r>
            <w:r>
              <w:rPr>
                <w:sz w:val="20"/>
                <w:szCs w:val="20"/>
              </w:rPr>
              <w:t>rapid scale-down is a new goal for massive storage systems, as there is now an economic benefit to doing so.</w:t>
            </w:r>
          </w:p>
          <w:p>
            <w:pPr>
              <w:pStyle w:val="TableContents"/>
              <w:rPr>
                <w:sz w:val="20"/>
                <w:szCs w:val="20"/>
              </w:rPr>
            </w:pPr>
            <w:r>
              <w:rPr>
                <w:sz w:val="20"/>
                <w:szCs w:val="20"/>
              </w:rPr>
              <w:t xml:space="preserve">2. </w:t>
            </w:r>
            <w:r>
              <w:rPr>
                <w:sz w:val="20"/>
                <w:szCs w:val="20"/>
              </w:rPr>
              <w:t>Data Scale Independence</w:t>
            </w:r>
          </w:p>
          <w:p>
            <w:pPr>
              <w:pStyle w:val="TableContents"/>
              <w:rPr>
                <w:sz w:val="20"/>
                <w:szCs w:val="20"/>
              </w:rPr>
            </w:pPr>
            <w:r>
              <w:rPr>
                <w:sz w:val="20"/>
                <w:szCs w:val="20"/>
              </w:rPr>
              <w:t xml:space="preserve">3. </w:t>
            </w:r>
            <w:r>
              <w:rPr>
                <w:sz w:val="20"/>
                <w:szCs w:val="20"/>
              </w:rPr>
              <w:t>One of the most important considerations when designing a data storage system for this space is the ability to rapidly scale to handle more users</w:t>
            </w:r>
          </w:p>
          <w:p>
            <w:pPr>
              <w:pStyle w:val="TableContents"/>
              <w:rPr>
                <w:sz w:val="20"/>
                <w:szCs w:val="20"/>
              </w:rPr>
            </w:pPr>
            <w:r>
              <w:rPr>
                <w:sz w:val="20"/>
                <w:szCs w:val="20"/>
              </w:rPr>
              <w:t xml:space="preserve">4. </w:t>
            </w:r>
            <w:r>
              <w:rPr>
                <w:sz w:val="20"/>
                <w:szCs w:val="20"/>
              </w:rPr>
              <w:t>Scale-Aware Query Language</w:t>
            </w:r>
          </w:p>
        </w:tc>
        <w:tc>
          <w:tcPr>
            <w:tcW w:w="1366" w:type="dxa"/>
            <w:tcBorders>
              <w:left w:val="single" w:sz="2" w:space="0" w:color="000001"/>
              <w:bottom w:val="single" w:sz="2" w:space="0" w:color="000001"/>
              <w:insideH w:val="single" w:sz="2" w:space="0" w:color="000001"/>
            </w:tcBorders>
            <w:shd w:color="auto" w:fill="auto" w:val="clear"/>
            <w:tcMar>
              <w:left w:w="51" w:type="dxa"/>
            </w:tcMar>
          </w:tcPr>
          <w:p>
            <w:pPr>
              <w:pStyle w:val="TableContents"/>
              <w:rPr>
                <w:sz w:val="20"/>
                <w:szCs w:val="20"/>
              </w:rPr>
            </w:pPr>
            <w:r>
              <w:rPr>
                <w:sz w:val="20"/>
                <w:szCs w:val="20"/>
              </w:rPr>
              <w:t>NIL</w:t>
            </w:r>
          </w:p>
        </w:tc>
        <w:tc>
          <w:tcPr>
            <w:tcW w:w="1662"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sz w:val="20"/>
                <w:szCs w:val="20"/>
              </w:rPr>
            </w:pPr>
            <w:r>
              <w:rPr>
                <w:sz w:val="20"/>
                <w:szCs w:val="20"/>
              </w:rPr>
              <w:t>NIL</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lang w:val="en-US" w:eastAsia="en-US" w:bidi="hi-IN"/>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lineRule="auto" w:line="276" w:before="0" w:after="200"/>
      <w:jc w:val="left"/>
    </w:pPr>
    <w:rPr>
      <w:rFonts w:ascii="Liberation Serif" w:hAnsi="Liberation Serif" w:eastAsia="AR PL UMing HK" w:cs="Lohit Devanagari"/>
      <w:color w:val="auto"/>
      <w:sz w:val="24"/>
      <w:szCs w:val="24"/>
      <w:lang w:eastAsia="zh-CN" w:val="en-US" w:bidi="hi-IN"/>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LibreOffice/5.0.4.2$Linux_X86_64 LibreOffice_project/00m0$Build-2</Application>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2016-01-27T04:17:00Z</dcterms:created>
  <dc:creator>a</dc:creator>
  <dc:language>en-IN</dc:language>
  <cp:lastModifiedBy>shrukul </cp:lastModifiedBy>
  <dcterms:modified xsi:type="dcterms:W3CDTF">2016-01-27T12:50:22Z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