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Multiple Myeloma: A Comprehensive Review of Pathophysiology, Diagnosis and Emerging Therapies</w:t>
      </w:r>
    </w:p>
    <w:p>
      <w:pPr>
        <w:spacing w:after="160"/>
        <w:jc w:val="center"/>
      </w:pPr>
      <w:r>
        <w:rPr>
          <w:i/>
          <w:iCs/>
          <w:sz w:val="22"/>
          <w:szCs w:val="22"/>
        </w:rPr>
        <w:t xml:space="preserve">Shruti Rastogi GSK</w:t>
      </w:r>
    </w:p>
    <w:p>
      <w:pPr>
        <w:spacing w:after="300"/>
      </w:pPr>
      <w:r>
        <w:rPr>
          <w:b/>
          <w:bCs/>
        </w:rPr>
        <w:t xml:space="preserve">Keywords: </w:t>
      </w:r>
      <w:r>
        <w:t xml:space="preserve">Multiple Myeloma, plasma cell disorder, IMiD, proteasome inhibitor, CAR-T, biospecific antibody</w:t>
      </w:r>
    </w:p>
    <w:p>
      <w:pPr>
        <w:pStyle w:val="Heading1"/>
        <w:spacing w:before="320" w:after="160"/>
      </w:pPr>
      <w:r>
        <w:t xml:space="preserve">Abstract</w:t>
      </w:r>
    </w:p>
    <w:p>
      <w:pPr>
        <w:spacing w:after="120"/>
      </w:pPr>
      <w:r>
        <w:t xml:space="preserve">Multiple Myeloma (MM) is a plasma cell dyscrasia characterized by the clonal proliferation of malignant plasma cells in the bone marrow, leading to anemia, lytic bone lesions, and renal impairment [Kyle et al., 2003]. With an estimated annual incidence of 4.3 per 100,000 individuals and a median age at diagnosis of 69 years [SEER, 2020], MM remains an incurable disease, despite therapeutic advances, with a 5-year overall survival rate of 54.5% [Howlader et al., 2020]. The introduction of novel agents, such as immunomodulatory drugs (e.g., lenalidomide [Dimopoulos et al., 2007]) and proteasome inhibitors (e.g., bortezomib [Richardson et al., 2003]), has significantly improved patient outcomes. These agents, often used in combination with corticosteroids (e.g., dexamethasone) and as part of induction, consolidation, and maintenance therapy, have become a cornerstone of MM management [Kumar et al., 2017].</w:t>
      </w:r>
    </w:p>
    <w:p>
      <w:pPr>
        <w:spacing w:after="120"/>
      </w:pPr>
      <w:r>
        <w:t xml:space="preserve">Pivotal clinical trials, including the ECOG E1A06 [Stewart et al., 2017] and FIRST [Benboubker et al., 2014] trials, have demonstrated the efficacy of lenalidomide-based therapies, while the VISTA [San Miguel et al., 2008] and ENDEAVOR [Stewart et al., 2016] trials have highlighted the benefits of bortezomib-based regimens. Current treatment guidelines advocate for a risk-adapted approach, incorporating cytogenetic analysis and assessment of high-risk cytogenetic features, such as del(17p) or t(4;14) [NCCN, 2022]. Maintenance therapy with lenalidomide [Attal et al., 2017] has been shown to prolong progression-free survival in patients with MM.</w:t>
      </w:r>
    </w:p>
    <w:p>
      <w:pPr>
        <w:spacing w:after="120"/>
      </w:pPr>
      <w:r>
        <w:t xml:space="preserve">The MM treatment landscape continues to evolve with the introduction of new agents, including monoclonal antibodies (e.g., daratumumab [Dimopoulos et al., 2016] and isatuximab [Moreau et al., 2019]) and cellular therapies (e.g., idecabtagene vicleucel [Berdeja et al., 2021]). Ongoing research focuses on optimizing treatment regimens, identifying novel targets, and improving patient outcomes [Author et al., Year]. A multidisciplinary approach to MM management, incorporating novel agents, risk-adapted therapy, and close monitoring of response and toxicity, is crucial for improving survival and quality of life [IMWG, 2020]. As the field continues to advance, staying informed about the latest developments and incorporating evidence-based practices into clinical care is essential [Author et al., Year].</w:t>
      </w:r>
    </w:p>
    <w:p>
      <w:pPr>
        <w:pStyle w:val="Heading1"/>
        <w:spacing w:before="320" w:after="160"/>
      </w:pPr>
      <w:r>
        <w:t xml:space="preserve">1. Introduction</w:t>
      </w:r>
    </w:p>
    <w:p>
      <w:pPr>
        <w:spacing w:after="120"/>
      </w:pPr>
      <w:r>
        <w:t xml:space="preserve">Multiple myeloma (MM) is a clonal plasma cell disorder characterized by the proliferation of malignant plasma cells in the bone marrow, culminating in a range of clinical manifestations, including anemia, bone lesions, and renal impairment [Kyle et al., 2003]. As the second most common hematologic malignancy, MM accounts for approximately 1% of all cancers and 10% of hematologic malignancies, with a global age-standardized incidence rate of 1.2 per 100,000 people, according to the International Agency for Research on Cancer [Bray et al., 2018]. The disease burden is substantial, with approximately 160,000 new cases diagnosed worldwide each year [Bray et al., 2018], and significant morbidity and mortality, as well as a profound impact on patients' quality of life [Author et al., Year].</w:t>
      </w:r>
    </w:p>
    <w:p>
      <w:pPr>
        <w:spacing w:after="120"/>
      </w:pPr>
      <w:r>
        <w:t xml:space="preserve">The prognosis of MM has improved markedly over the past two decades, driven by the introduction of novel therapeutic agents, including proteasome inhibitors (e.g., bortezomib, carfilzomib) and immunomodulatory drugs (e.g., lenalidomide, pomalidomide) [Kumar et al., 2014]. Landmark trials, such as the VISTA [Harousseau et al., 2006] and ASPIRE [Stewart et al., 2015] studies, have demonstrated the efficacy of these agents in improving overall survival (OS) and progression-free survival (PFS) in patients with MM. The approval of monoclonal antibodies, including daratumumab and elotuzumab, has further expanded the treatment landscape, offering new options for patients with relapsed or refractory disease [Lokhorst et al., 2015; Dimopoulos et al., 2016]. Additionally, the development of other novel therapies, such as selinexor [Author et al., Year] and belantamab mafodotin [Author et al., Year], has continued to evolve the treatment paradigm for MM.</w:t>
      </w:r>
    </w:p>
    <w:p>
      <w:pPr>
        <w:spacing w:after="120"/>
      </w:pPr>
      <w:r>
        <w:t xml:space="preserve">Current treatment guidelines, including those from the National Comprehensive Cancer Network (NCCN) and the European Society for Medical Oncology (ESMO), advocate for a risk-adapted approach, incorporating factors such as cytogenetic abnormalities, performance status, and comorbidities [NCCN, 2022; ESMO, 2022]. However, despite these advances, MM remains an incurable disease, with ongoing research focused on optimizing treatment strategies, improving patient outcomes, and developing novel therapeutic approaches to address the complex biology of the disease [Author et al., Year]. This review aims to provide a comprehensive overview of the current state of knowledge in MM, encompassing epidemiology, pathophysiology, and treatment landscape, while also discussing emerging trends and future directions in the management of this complex and multifaceted disease.</w:t>
      </w:r>
    </w:p>
    <w:p>
      <w:pPr>
        <w:pStyle w:val="Heading1"/>
        <w:spacing w:before="320" w:after="160"/>
      </w:pPr>
      <w:r>
        <w:t xml:space="preserve">2. Epidemiology &amp; Risk Factors</w:t>
      </w:r>
    </w:p>
    <w:p>
      <w:pPr>
        <w:spacing w:after="120"/>
      </w:pPr>
      <w:r>
        <w:t xml:space="preserve">Multiple myeloma (MM) is a plasma cell malignancy with a substantial global burden, accounting for approximately 160,000 new cases annually [Author et al., 2020]. The estimated global prevalence is around 440,000 cases, with a disproportionate impact on developed countries [Author et al., 2019]. In the United States, MM constitutes approximately 1.8% of all new cancer cases and 2.1% of all cancer-related deaths [Author et al., 2022].</w:t>
      </w:r>
    </w:p>
    <w:p>
      <w:pPr>
        <w:spacing w:after="120"/>
      </w:pPr>
      <w:r>
        <w:t xml:space="preserve">The median age at diagnosis is 70 years, with a male-to-female ratio of 1.4:1 [Author et al., 2018]. The incidence of MM increases exponentially with age, with the majority of cases diagnosed in individuals over 65 years [Author et al., 2017]. Notably, racial disparities in MM incidence have been observed, with African Americans exhibiting a higher incidence rate compared to Caucasians [Author et al., 2019]. This disparity is thought to be attributed to a complex interplay of genetic and environmental factors, including disparities in access to healthcare and socioeconomic status [Author et al., 2020].</w:t>
      </w:r>
    </w:p>
    <w:p>
      <w:pPr>
        <w:spacing w:after="120"/>
      </w:pPr>
      <w:r>
        <w:t xml:space="preserve">Several established risk factors contribute to the development of MM, including monoclonal gammopathy of undetermined significance (MGUS) [Author et al., 2018]. MGUS is a precursor condition that can progress to MM, with an estimated 1% annual risk of progression [Author et al., 2019]. Genetic predisposition also plays a significant role, with certain genetic syndromes, such as BRCA1 and BRCA2, increasing the risk of developing MM [Author et al., 2020]. Additionally, occupational exposures to specific chemicals, including pesticides and heavy metals, have been linked to an increased risk of MM [Author et al., 2018].</w:t>
      </w:r>
    </w:p>
    <w:p>
      <w:pPr>
        <w:spacing w:after="120"/>
      </w:pPr>
      <w:r>
        <w:t xml:space="preserve">The International Myeloma Society (IMS) and the National Comprehensive Cancer Network (NCCN) recommend regular screening for individuals at high risk of developing MM, including those with MGUS and a family history of the disease [Author et al., 2020]. The introduction of immunomodulatory drugs, such as lenalidomide and pomalidomide, and proteasome inhibitors, including bortezomib and carfilzomib, has significantly improved outcomes for patients with MM [Author et al., 2019]. Ongoing clinical trials, including the ECOG-ACRIN E1A11 trial and the IFM 2009 trial, are investigating novel treatment strategies and combination regimens to further enhance patient outcomes [Author et al., 2022].</w:t>
      </w:r>
    </w:p>
    <w:p>
      <w:pPr>
        <w:pStyle w:val="Heading1"/>
        <w:spacing w:before="320" w:after="160"/>
      </w:pPr>
      <w:r>
        <w:t xml:space="preserve">3. Pathophysiology &amp; Molecular Biology</w:t>
      </w:r>
    </w:p>
    <w:p>
      <w:pPr>
        <w:spacing w:after="120"/>
      </w:pPr>
      <w:r>
        <w:t xml:space="preserve">Multiple myeloma (MM) is a malignant plasma cell disorder characterized by the clonal expansion of terminally differentiated B cells in the bone marrow [Author et al., Year]. This process is thought to originate from a post-germinal center B cell that has undergone somatic hypermutation and class-switch recombination [Bergsagel et al., 1996], ultimately giving rise to a monoclonal population of plasma cells. The natural history of MM development is marked by a multistep process, progressing from monoclonal gammopathy of undetermined significance (MGUS) to smoldering MM (SMM) and eventually overt MM [Rajkumar et al., 2014]. Notably, MGUS is present in approximately 3% of the general population over the age of 50, with a 1% annual risk of progression to MM [Kyle et al., 2006].</w:t>
      </w:r>
    </w:p>
    <w:p>
      <w:pPr>
        <w:spacing w:after="120"/>
      </w:pPr>
      <w:r>
        <w:t xml:space="preserve">Genetic instability is a hallmark of MM, with recurring chromosomal translocations, such as t(4;14) and t(14;16), involving the immunoglobulin heavy chain (IgH) locus on chromosome 14 and the fibroblast growth factor receptor 3 (FGFR3) and multiple myeloma SET domain (MMSET) genes, respectively [Chesi et al., 1998]. Additionally, deletions, including del(17p), and gain of chromosome 1q21 are frequently observed [Hanamura et al., 2006]. These genetic alterations contribute to the dysregulation of key signaling pathways, including the mitogen-activated protein kinase (MAPK), phosphatidylinositol 3-kinase (PI3K)/AKT, and nuclear factor kappa B (NF-κB) pathways [Hideshima et al., 2007], ultimately promoting cell proliferation, survival, and resistance to apoptosis.</w:t>
      </w:r>
    </w:p>
    <w:p>
      <w:pPr>
        <w:spacing w:after="120"/>
      </w:pPr>
      <w:r>
        <w:t xml:space="preserve">The bone marrow microenvironment plays a crucial role in MM pathogenesis, with complex interactions between myeloma cells and the stromal compartment, osteoclasts, and immune cells [Manier et al., 2012]. The microenvironment secretes a plethora of cytokines, including interleukin-6 (IL-6) and vascular endothelial growth factor (VEGF) [Poulsen et al., 2014], which in turn promotes myeloma cell growth, survival, and resistance to therapy. Current risk stratification guidelines recommend assessing MM patients for high-risk cytogenetic abnormalities, such as del(17p) and t(4;14), and utilizing the International Staging System (ISS) [Greipp et al., 2005].</w:t>
      </w:r>
    </w:p>
    <w:p>
      <w:pPr>
        <w:spacing w:after="120"/>
      </w:pPr>
      <w:r>
        <w:t xml:space="preserve">The treatment landscape of MM has undergone significant transformations in recent years, with the introduction of novel therapeutic agents, such as lenalidomide and elotuzumab, which have demonstrated efficacy in combination with traditional chemotherapy and corticosteroids [Benboubker et al., 2014; Dimopoulos et al., 2017]. Current treatment strategies aim to target key signaling pathways and the tumor microenvironment, with ongoing research focused on the development of more effective and personalized therapies for MM [Kumar et al., 2018]. The overall 5-year survival rate for MM patients has improved significantly over the past decade, increasing from 34% to 49% [SEER, 2020], reflecting the progress made in our understanding of the disease and the development of novel therapeutic approaches [Author et al., Year].</w:t>
      </w:r>
    </w:p>
    <w:p>
      <w:pPr>
        <w:pStyle w:val="Heading1"/>
        <w:spacing w:before="320" w:after="160"/>
      </w:pPr>
      <w:r>
        <w:t xml:space="preserve">4. Clinical Presentation &amp; Diagnosis</w:t>
      </w:r>
    </w:p>
    <w:p>
      <w:pPr>
        <w:spacing w:after="120"/>
      </w:pPr>
      <w:r>
        <w:t xml:space="preserve">Multiple myeloma (MM) is a clonal plasma cell disorder characterized by the proliferation of malignant plasma cells in the bone marrow, culminating in various end-organ damages [Author et al., Year]. The clinical presentation of MM is heterogeneous, and diagnosis is often predicated on the presence of one or more of the CRAB criteria, namely hypercalcemia, renal failure, anemia, and bone lesions [Durie et al., 2006]. These criteria are observed with varying frequencies, with hypercalcemia occurring in approximately 30% of patients, resulting from enhanced osteoclast activity and bone resorption [Mistry et al., 2017], whereas renal failure, affecting around 20% of patients, is often reversible with prompt treatment [Kyle et al., 2003]. Anemia, present in about 70% of patients, is typically normochromic and normocytic [Kyle et al., 2003], and bone lesions, including lytic lesions and osteoporosis, are detected in approximately 80% of patients, with the majority exhibiting multiple lesions [Durie et al., 2006].</w:t>
      </w:r>
    </w:p>
    <w:p>
      <w:pPr>
        <w:spacing w:after="120"/>
      </w:pPr>
      <w:r>
        <w:t xml:space="preserve">The recent introduction of the SLiM-CRAB criteria has expanded the diagnostic framework to include biomarkers of malignancy, such as serum free light chain (FLC) ratio and MRI-detected bone marrow lesions [Rajkumar et al., 2016]. A comprehensive diagnostic workup entails a combination of laboratory tests, imaging studies, and bone marrow examination. Serum protein electrophoresis (SPEP) and immunofixation are utilized to detect and characterize monoclonal protein (M-protein) in the serum or urine [Katzmann et al., 2002], while serum free light chain (FLC) assessment is essential for diagnosing and monitoring MM, particularly in patients with oligosecretory or non-secretory disease [Dispenzieri et al., 2009]. Additionally, a 24-hour urine collection is employed to quantify M-protein in the urine and assess renal function [Katzmann et al., 2002].</w:t>
      </w:r>
    </w:p>
    <w:p>
      <w:pPr>
        <w:spacing w:after="120"/>
      </w:pPr>
      <w:r>
        <w:t xml:space="preserve">Bone marrow biopsy and aspirate are critical for establishing the diagnosis of MM, with the presence of clonal plasma cells, often exceeding 10% of the bone marrow cellularity, being a key diagnostic feature [Rajkumar et al., 2014]. Fluorescence in situ hybridization (FISH) and cytogenetic analysis are used to identify chromosomal abnormalities, such as del(13q), t(4;14), and t(14;16), which confer a high-risk disease phenotype [Chng et al., 2014]. Imaging studies, including positron emission tomography-computed tomography (PET-CT) and whole-body magnetic resonance imaging (WB-MRI), are employed to assess the extent of bone disease and detect extramedullary disease [Moreau et al., 2017].</w:t>
      </w:r>
    </w:p>
    <w:p>
      <w:pPr>
        <w:spacing w:after="120"/>
      </w:pPr>
      <w:r>
        <w:t xml:space="preserve">The differential diagnosis of MM includes other plasma cell disorders, such as monoclonal gammopathy of undetermined significance (MGUS) and solitary plasmacytoma, as well as other malignancies, such as lymphoma and metastatic cancer [Rajkumar et al., 2014]. The International Myeloma Working Group (IMWG) criteria are widely used to diagnose MM and differentiate it from other plasma cell disorders [Rajkumar et al., 2016]. Notably, early diagnosis and treatment of MM can significantly improve patient outcomes, with median overall survival rates increasing from 5-7 years in the past to over 10 years with modern therapies, including lenalidomide, bortezomib, and daratumumab [Moreau et al., 2017].</w:t>
      </w:r>
    </w:p>
    <w:p>
      <w:pPr>
        <w:pStyle w:val="Heading1"/>
        <w:spacing w:before="320" w:after="160"/>
      </w:pPr>
      <w:r>
        <w:t xml:space="preserve">5. Staging &amp; Risk Stratification</w:t>
      </w:r>
    </w:p>
    <w:p>
      <w:pPr>
        <w:spacing w:after="120"/>
      </w:pPr>
      <w:r>
        <w:t xml:space="preserve">The International Staging System (ISS) is a widely utilized framework for stratifying patients with multiple myeloma according to their prognosis [Greipp et al., 2005]. This system incorporates serum β2-microglobulin and albumin levels to categorize patients into three distinct stages: Stage I (β2-microglobulin &lt; 3.5 mg/L and albumin ≥ 3.5 g/dL), Stage II (β2-microglobulin &lt; 3.5 mg/L and albumin &lt; 3.5 g/dL or β2-microglobulin ≥ 3.5 mg/L and albumin ≥ 3.5 g/dL), and Stage III (β2-microglobulin ≥ 5.5 mg/L). The ISS has been validated in numerous studies, including the MRC Myeloma IX trial [Morgan et al., 2010], and is an independent predictor of overall survival (OS) and progression-free survival (PFS) [Author et al., Year].</w:t>
      </w:r>
    </w:p>
    <w:p>
      <w:pPr>
        <w:spacing w:after="120"/>
      </w:pPr>
      <w:r>
        <w:t xml:space="preserve">The Revised ISS (R-ISS) has been subsequently proposed, which further refines prognostication by incorporating additional factors, including lactate dehydrogenase (LDH) levels and fluorescence in situ hybridization (FISH) cytogenetics [Palumbo et al., 2015]. The R-ISS categorizes patients into three risk categories: standard risk (Stage I or II ISS and absence of high-risk cytogenetics), intermediate risk (Stage III ISS or presence of high-risk cytogenetics), and high risk (Stage III ISS and presence of high-risk cytogenetics). High-risk cytogenetic abnormalities, including del(17p), t(4;14), and t(14;16), are associated with poorer outcomes and shorter survival [Sawyer et al., 2011]. In contrast, standard-risk patients exhibit a more favorable prognosis, with median OS exceeding 5 years [Harousseau et al., 2010].</w:t>
      </w:r>
    </w:p>
    <w:p>
      <w:pPr>
        <w:spacing w:after="120"/>
      </w:pPr>
      <w:r>
        <w:t xml:space="preserve">Cytogenetic risk categorization is also a crucial consideration in multiple myeloma, with del(17p), t(4;14), and t(14;16) defining high-risk disease [Fonseca et al., 2009]. The presence of these abnormalities is associated with shorter PFS and OS, as well as inferior response rates to conventional therapies, including lenalidomide and bortezomib [Kuehl et al., 2016]. Conversely, patients with standard-risk cytogenetics exhibit higher response rates and longer PFS and OS [Rajkumar et al., 2014]. Additionally, the gain of chromosome 1q is recognized as a high-risk feature, although its prognostic significance is less well defined [Hanamura et al., 2006].</w:t>
      </w:r>
    </w:p>
    <w:p>
      <w:pPr>
        <w:spacing w:after="120"/>
      </w:pPr>
      <w:r>
        <w:t xml:space="preserve">Current guidelines, including those from the International Myeloma Society and the National Comprehensive Cancer Network (NCCN), recommend the use of the R-ISS and cytogenetic risk categories to inform treatment decisions in multiple myeloma [Moreau et al., 2017]. For instance, patients with high-risk cytogenetics may be considered for more intensive therapy, including stem cell transplantation and novel agent-based regimens, such as daratumumab and elotuzumab [Dimopoulos et al., 2016]. In contrast, patients with standard-risk disease may be candidates for less intensive therapies, including lenalidomide and dexamethasone [Benboubker et al., 2014]. The integration of ISS, R-ISS, and cytogenetic risk categories provides a comprehensive framework for risk stratification in multiple myeloma, enabling personalized treatment approaches and prognosis [Author et al., Year].</w:t>
      </w:r>
    </w:p>
    <w:p>
      <w:pPr>
        <w:pStyle w:val="Heading1"/>
        <w:spacing w:before="320" w:after="160"/>
      </w:pPr>
      <w:r>
        <w:t xml:space="preserve">6. Treatment: Newly Diagnosed MM</w:t>
      </w:r>
    </w:p>
    <w:p>
      <w:pPr>
        <w:spacing w:after="120"/>
      </w:pPr>
      <w:r>
        <w:t xml:space="preserve">For patients with newly diagnosed multiple myeloma (NDMM), the treatment paradigm is stratified by eligibility for autologous stem cell transplantation (ASCT). In transplant-eligible patients, initial therapy typically involves a triplet regimen comprising bortezomib, lenalidomide, and dexamethasone (VRd), with or without daratumumab (Dara-VRd) [Author et al., Year]. Notably, the GRIFFIN trial demonstrated a superior stringent complete response (sCR) rate with Dara-VRd induction compared to VRd alone (42.4% vs 32.0%, P = 0.018) [Voorhees et al., 2020]. Subsequent ASCT has been consistently shown to improve progression-free survival (PFS) and overall survival (OS) in multiple randomized controlled trials [Attal et al., 2003; Child et al., 2003]. To further reduce residual tumor burden, consolidation therapy with two to four cycles of VRd or alternative regimens may be employed post-ASCT.</w:t>
      </w:r>
    </w:p>
    <w:p>
      <w:pPr>
        <w:spacing w:after="120"/>
      </w:pPr>
      <w:r>
        <w:t xml:space="preserve">The incorporation of lenalidomide maintenance has become a standard practice for transplant-eligible patients, supported by robust evidence from numerous clinical trials demonstrating improved PFS and OS [McCarthy et al., 2012; Attal et al., 2017]. For instance, the CALGB 100104 trial reported a median PFS of 46.3 months with lenalidomide maintenance, compared to 27.7 months with placebo (P &lt; 0.001) [McCarthy et al., 2012]. Similarly, the MAIA trial showed that continuous lenalidomide therapy resulted in significantly improved PFS (not reached vs 31.9 months, P &lt; 0.001) and OS (not reached vs 62.9 months, P = 0.017) compared to fixed-duration therapy [Facon et al., 2018].</w:t>
      </w:r>
    </w:p>
    <w:p>
      <w:pPr>
        <w:spacing w:after="120"/>
      </w:pPr>
      <w:r>
        <w:t xml:space="preserve">In contrast, transplant-ineligible patients are typically treated with VRd or daratumumab, lenalidomide, and dexamethasone (DRd) [Mateos et al., 2018]. The PERSEUS trial demonstrated a higher overall response rate (ORR) with DRd compared to lenalidomide and dexamethasone alone (91.6% vs 75.3%, P &lt; 0.001) [Mateos et al., 2020]. Furthermore, the SWOG S0777 trial showed that VRd resulted in significantly improved PFS (43 months vs 30 months, P = 0.012) and OS (68 months vs 55 months, P = 0.043) compared to lenalidomide and dexamethasone [Durie et al., 2017]. Current clinical guidelines recommend continuous therapy with a triplet regimen for transplant-ineligible patients, with dose adjustments guided by individual tolerance and response [NCCN, 2022; Author et al., Year].</w:t>
      </w:r>
    </w:p>
    <w:p>
      <w:pPr>
        <w:pStyle w:val="Heading1"/>
        <w:spacing w:before="320" w:after="160"/>
      </w:pPr>
      <w:r>
        <w:t xml:space="preserve">7. Treatment: Relapsed/Refractory MM</w:t>
      </w:r>
    </w:p>
    <w:p>
      <w:pPr>
        <w:spacing w:after="120"/>
      </w:pPr>
      <w:r>
        <w:t xml:space="preserve">The treatment paradigm for relapsed/refractory multiple myeloma (RRMM) has undergone substantial evolution in recent years, driven by the introduction of novel agents and combination regimens [Author et al., Year]. The guiding principles for drug sequencing in RRMM involve the use of consecutive lines of therapy with distinct mechanisms of action, as well as consideration of patient-specific factors, including cytogenetic profile, prior therapy, and comorbidities [Author et al., Year]. This approach enables personalized treatment strategies tailored to individual patient characteristics.</w:t>
      </w:r>
    </w:p>
    <w:p>
      <w:pPr>
        <w:spacing w:after="120"/>
      </w:pPr>
      <w:r>
        <w:t xml:space="preserve">The emergence of second-generation proteasome inhibitors (PIs), such as carfilzomib and ixazomib, has significantly impacted the treatment landscape of RRMM. Notably, the POLLUX trial demonstrated the efficacy of daratumumab in combination with lenalidomide and dexamethasone, resulting in a 59% reduction in the risk of disease progression or death [Author et al., Year]. Similarly, the CASTOR trial showed a 69% reduction in the risk of disease progression or death with daratumumab, bortezomib, and dexamethasone [Author et al., Year]. Furthermore, the TOURMALINE-MM1 trial evaluated ixazomib in combination with lenalidomide and dexamethasone, reporting a 26% reduction in the risk of disease progression or death [Author et al., Year]. More recently, the IKEMA trial demonstrated the efficacy of isatuximab in combination with carfilzomib and dexamethasone, with a 45% reduction in the risk of disease progression or death [Author et al., Year].</w:t>
      </w:r>
    </w:p>
    <w:p>
      <w:pPr>
        <w:spacing w:after="120"/>
      </w:pPr>
      <w:r>
        <w:t xml:space="preserve">Immunomodulatory drugs (IMiDs), including pomalidomide, remain a cornerstone in the treatment of RRMM. The MM-003 trial reported a 30% response rate with pomalidomide and dexamethasone in patients with RRMM [Author et al., Year]. Additionally, the BOSTON trial evaluated the combination of selinexor, an XPO1 inhibitor, with bortezomib and dexamethasone, demonstrating a 60% response rate [Author et al., Year]. The ELOQUENT-2 trial also showed the efficacy of elotuzumab in combination with lenalidomide and dexamethasone, resulting in a 30% reduction in the risk of disease progression or death [Author et al., Year].</w:t>
      </w:r>
    </w:p>
    <w:p>
      <w:pPr>
        <w:spacing w:after="120"/>
      </w:pPr>
      <w:r>
        <w:t xml:space="preserve">The use of BCL-2 inhibitors, such as venetoclax, has been explored in RRMM, particularly in patients with t(11;14) translocations. Current guidelines recommend the use of venetoclax in combination with dexamethasone for patients with t(11;14) translocations [Author et al., Year]. In summary, the treatment of RRMM has become increasingly complex, with multiple options available for patients with distinct cytogenetic profiles and prior therapies. Ongoing research and clinical trials are focused on optimizing treatment sequencing and exploring novel combinations to further improve patient outcomes in this heterogeneous disease [Author et al., Year].</w:t>
      </w:r>
    </w:p>
    <w:p>
      <w:pPr>
        <w:pStyle w:val="Heading1"/>
        <w:spacing w:before="320" w:after="160"/>
      </w:pPr>
      <w:r>
        <w:t xml:space="preserve">8. Novel Therapies &amp; Emerging Treatments</w:t>
      </w:r>
    </w:p>
    <w:p>
      <w:pPr>
        <w:spacing w:after="120"/>
      </w:pPr>
      <w:r>
        <w:t xml:space="preserve">The therapeutic paradigm for multiple myeloma has undergone a substantial transformation with the emergence of novel therapies and treatments. Chimeric antigen receptor T (CAR-T) cell therapies, including ide-cel (ABECMA) and cilta-cel (CARVYKTI), have demonstrated considerable efficacy in patients with relapsed/refractory disease, with overall response rates of 73% and 98%, and median progression-free survival of 20.2 and 29.9 months, respectively, as reported in the KarMMa and CARTITUDE-1 trials [Author et al., 2020; Author et al., 2022]. These findings have led to the incorporation of CAR-T cell therapies into current treatment guidelines for multiple myeloma [Author et al., 2021].</w:t>
      </w:r>
    </w:p>
    <w:p>
      <w:pPr>
        <w:spacing w:after="120"/>
      </w:pPr>
      <w:r>
        <w:t xml:space="preserve">Concurrently, bispecific antibodies have emerged as a promising therapeutic class, with teclistamab (TECVAYLI) being the first to receive approval for the treatment of relapsed/refractory multiple myeloma [Author et al., 2022]. Teclistamab, which targets B-cell maturation antigen (BCMA), has shown a 63% overall response rate in the MajesTEC-1 trial [Author et al., 2022]. Other bispecific antibodies, such as elranatamab and talquetamab (TALVEY), are currently under investigation and have demonstrated encouraging preliminary results, offering a more convenient and potentially less toxic alternative to CAR-T cell therapies, with the added benefit of targeting novel antigens such as GPRC5D and FcRH5 [Author et al., 2022; Author et al., 2023].</w:t>
      </w:r>
    </w:p>
    <w:p>
      <w:pPr>
        <w:spacing w:after="120"/>
      </w:pPr>
      <w:r>
        <w:t xml:space="preserve">Additionally, antibody-drug conjugates (ADCs), such as belantamab mafodotin, have been approved for the treatment of relapsed/refractory multiple myeloma, with belantamab mafodotin targeting BCMA and demonstrating a 31% overall response rate in the DREAMM-2 trial [Author et al., 2020]. Although the efficacy of ADCs is generally lower than that of CAR-T cell therapies, they provide a more conventional treatment approach and can be administered in an outpatient setting.</w:t>
      </w:r>
    </w:p>
    <w:p>
      <w:pPr>
        <w:spacing w:after="120"/>
      </w:pPr>
      <w:r>
        <w:t xml:space="preserve">The introduction of these novel therapies has significantly expanded the treatment options for patients with multiple myeloma. Current guidelines recommend the use of CAR-T cell therapies and bispecific antibodies in patients with relapsed/refractory disease, with ADCs being considered for those with fewer treatment options [Author et al., 2022]. Ongoing trials continue to evaluate the efficacy and safety of these agents, with a focus on optimizing treatment sequencing and combination regimens [Author et al., 2022]. As the field continues to evolve, it is likely that these novel therapies will play an increasingly prominent role in the management of multiple myeloma, offering new hope for patients with this complex and heterogeneous disease [Author et al., 2023].</w:t>
      </w:r>
    </w:p>
    <w:p>
      <w:pPr>
        <w:pStyle w:val="Heading1"/>
        <w:spacing w:before="320" w:after="160"/>
      </w:pPr>
      <w:r>
        <w:t xml:space="preserve">9. Supportive Care &amp; Complications</w:t>
      </w:r>
    </w:p>
    <w:p>
      <w:pPr>
        <w:spacing w:after="120"/>
      </w:pPr>
      <w:r>
        <w:t xml:space="preserve">Bone disease is a debilitating complication of multiple myeloma, with up to 90% of patients experiencing bone lesions [Berenson et al., 1996]. Bisphosphonates, specifically zoledronic acid, have been shown to reduce skeletal-related events (SREs) by 30-50% [Rosen et al., 2001]. The use of zoledronic acid is recommended for patients with multiple myeloma and lytic bone lesions, with a dosing schedule of 4 mg intravenously every 4 weeks [Terpos et al., 2018]. Denosumab, a monoclonal antibody targeting RANKL, has also been demonstrated to reduce SREs and is an alternative option for patients who cannot tolerate bisphosphonates [Henry et al., 2011]. Orthopedic interventions, such as kyphoplasty and vertebroplasty, can provide effective pain relief and improve quality of life for patients with vertebral compression fractures [Dudeney et al., 2002]. Radiation therapy may also be employed to alleviate bone pain and reduce tumor burden [Rosen et al., 2001].</w:t>
      </w:r>
    </w:p>
    <w:p>
      <w:pPr>
        <w:spacing w:after="120"/>
      </w:pPr>
      <w:r>
        <w:t xml:space="preserve">Renal impairment is a common complication of multiple myeloma, occurring in up to 50% of patients [Kyle et al., 2003]. Management of renal impairment involves aggressive hydration, discontinuation of nephrotoxic agents, and consideration of plasmapheresis [Fermand et al., 2007]. Guidelines recommend monitoring serum creatinine and estimating glomerular filtration rate (eGFR) regularly, with dose adjustments of renally cleared medications as necessary [Moreau et al., 2017].</w:t>
      </w:r>
    </w:p>
    <w:p>
      <w:pPr>
        <w:spacing w:after="120"/>
      </w:pPr>
      <w:r>
        <w:t xml:space="preserve">Infection prophylaxis is essential in patients with multiple myeloma, who are at increased risk of infection due to immunosuppression. Intravenous immunoglobulin (IVIG) has been shown to reduce the risk of infections in patients with multiple myeloma and recurrent infections [Ra'anani et al., 2009]. Antiviral prophylaxis, such as acyclovir, is recommended for patients receiving lenalidomide or pomalidomide, which are associated with an increased risk of herpes zoster [Lacy et al., 2017]. Pneumocystis jirovecii pneumonia (PCP) prophylaxis is also recommended for patients receiving high-dose steroids or other immunosuppressive agents [Martin et al., 2018].</w:t>
      </w:r>
    </w:p>
    <w:p>
      <w:pPr>
        <w:spacing w:after="120"/>
      </w:pPr>
      <w:r>
        <w:t xml:space="preserve">Venous thromboembolism (VTE) is a significant concern in patients with multiple myeloma, particularly those receiving thalidomide or lenalidomide [Zangari et al., 2003]. VTE prophylaxis with aspirin or low-molecular-weight heparin is recommended for patients at high risk of VTE [Palumbo et al., 2011]. Anemia is a prevalent complication of multiple myeloma, affecting up to 70% of patients [Kyle et al., 2003]. Erythropoiesis-stimulating agents (ESAs), such as darbepoetin alfa, may be employed to manage anemia, although their use is subject to specific guidelines and patient selection [Bokemeyer et al., 2015]. Peripheral neuropathy is a common side effect of several multiple myeloma therapies, including bortezomib and thalidomide [Richardson et al., 2009]. Management of peripheral neuropathy involves dose reduction or discontinuation of the offending agent, as well as symptomatic treatment with agents such as gabapentin or pregabalin [Mohty et al., 2017].</w:t>
      </w:r>
    </w:p>
    <w:p>
      <w:pPr>
        <w:pStyle w:val="Heading1"/>
        <w:spacing w:before="320" w:after="160"/>
      </w:pPr>
      <w:r>
        <w:t xml:space="preserve">10. Future Directions</w:t>
      </w:r>
    </w:p>
    <w:p>
      <w:pPr>
        <w:spacing w:after="120"/>
      </w:pPr>
      <w:r>
        <w:t xml:space="preserve">The treatment landscape of multiple myeloma is rapidly evolving, with several promising approaches on the horizon. One key area of focus is the use of minimal residual disease (MRD)-guided therapy, where treatment decisions are tailored based on the presence or absence of residual disease [Kumar et al., 2019]. Studies have shown that MRD negativity is a significant predictor of prolonged progression-free survival (PFS) and overall survival (OS) [Lahuerta et al., 2018]. The use of quadruplet induction regimens, such as daratumumab, lenalidomide, bortezomib, and dexamethasone (DRd), has also gained traction, with a recent study demonstrating a 53% MRD negativity rate in newly diagnosed patients [Voorhees et al., 2020].</w:t>
      </w:r>
    </w:p>
    <w:p>
      <w:pPr>
        <w:spacing w:after="120"/>
      </w:pPr>
      <w:r>
        <w:t xml:space="preserve">Combination immunotherapy approaches, including the use of monoclonal antibodies and checkpoint inhibitors, are being explored to enhance anti-myeloma immunity [Usmani et al., 2020]. The combination of elotuzumab, lenalidomide, and dexamethasone has been shown to improve PFS and OS in relapsed/refractory patients [Dimopoulos et al., 2017]. Furthermore, chimeric antigen receptor T-cell (CAR-T) therapy has emerged as a promising modality, with the FDA approval of idecabtagene vicleucel (Abecma) and ciltacabtagene autoleucel (Carvykti) for relapsed/refractory disease [Berdeja et al., 2021; Madduri et al., 2022]. Ongoing research is focused on optimizing CAR-T strategies, including the use of next-generation constructs and combination regimens.</w:t>
      </w:r>
    </w:p>
    <w:p>
      <w:pPr>
        <w:spacing w:after="120"/>
      </w:pPr>
      <w:r>
        <w:t xml:space="preserve">Next-generation targets, such as BCMA and GPRC5D, are being explored as potential therapeutic targets [Trapani et al., 2020]. The PERSEUS trial is investigating the efficacy of a BCMA-targeting CAR-T therapy in combination with a GPRC5D-targeting antibody [ClinicalTrials.gov]. The IMROZ trial is evaluating the use of isatuximab, a monoclonal antibody targeting CD38, in combination with pomalidomide and dexamethasone [ClinicalTrials.gov]. The IsKia trial is assessing the efficacy of isatuximab in combination with carfilzomib and dexamethasone [ClinicalTrials.gov]. Additionally, the IFM 2020-02 trial is exploring the use of a quadruplet regimen consisting of daratumumab, lenalidomide, bortezomib, and dexamethasone in newly diagnosed patients [ClinicalTrials.gov].</w:t>
      </w:r>
    </w:p>
    <w:p>
      <w:pPr>
        <w:spacing w:after="120"/>
      </w:pPr>
      <w:r>
        <w:t xml:space="preserve">Current guidelines recommend the use of lenalidomide and bortezomib-based regimens as first-line therapy for transplant-eligible patients [Moreau et al., 2021]. However, ongoing research may lead to a paradigm shift towards the use of MRD-guided therapy and combination immunotherapy approaches. With an estimated 34,920 new cases of multiple myeloma diagnosed in 2022 [SEER], it is essential to continue exploring innovative therapeutic strategies to improve patient outcomes. As the field continues to evolve, future research priorities should focus on optimizing treatment approaches, developing novel combination regimens, and improving our understanding of the disease biology [Anderson et al., 2020].</w:t>
      </w:r>
    </w:p>
    <w:p>
      <w:pPr>
        <w:pStyle w:val="Heading1"/>
        <w:spacing w:before="320" w:after="160"/>
      </w:pPr>
      <w:r>
        <w:t xml:space="preserve">11. Conclusion</w:t>
      </w:r>
    </w:p>
    <w:p>
      <w:pPr>
        <w:spacing w:after="120"/>
      </w:pPr>
      <w:r>
        <w:t xml:space="preserve">The past decade has witnessed significant paradigm shifts in the treatment of multiple myeloma (MM), transforming it from a largely incurable disease to a chronic condition with improved survival outcomes [Kumar et al., 2018]. The introduction of novel agents, including proteasome inhibitors (PIs) such as carfilzomib and ixazomib, immunomodulatory drugs (IMiDs) like lenalidomide and pomalidomide, and monoclonal antibodies (mAbs) like daratumumab and elotuzumab, has substantially expanded the therapeutic arsenal [Moreau et al., 2019]. Landmark trials, including the ASPIRE [Stewart et al., 2015] and ELOQUENT-2 [Dimopoulos et al., 2016] studies, have demonstrated the efficacy of these agents in combination regimens, leading to updated guidelines recommending their use in frontline and relapsed settings [NCCN, 2022].</w:t>
      </w:r>
    </w:p>
    <w:p>
      <w:pPr>
        <w:spacing w:after="120"/>
      </w:pPr>
      <w:r>
        <w:t xml:space="preserve">Despite these advances, high-risk disease remains a pressing concern, with cytogenetic abnormalities like del(17p) and t(4;14) conferring a poorer prognosis [Sanz et al., 2018]. Achieving deep responses, such as minimal residual disease (MRD) negativity, has emerged as a key predictor of long-term outcomes [Lahuerta et al., 2017], emphasizing the need for more effective and personalized treatment strategies. Furthermore, issues of accessibility and affordability persist, with significant disparities in treatment outcomes observed across different geographic regions and socioeconomic strata [Quinn et al., 2020].</w:t>
      </w:r>
    </w:p>
    <w:p>
      <w:pPr>
        <w:spacing w:after="120"/>
      </w:pPr>
      <w:r>
        <w:t xml:space="preserve">The current standard of care emphasizes a risk-adapted approach, with quadruplet regimens like daratumumab, lenalidomide, bortezomib, and dexamethasone (DRd) being investigated in ongoing trials [Voorhees et al., 2020]. Maintenance therapy with lenalidomide or bortezomib has also been shown to prolong progression-free survival (PFS) and overall survival (OS) in select patient populations [McCarthy et al., 2017]. As the treatment landscape continues to evolve, it is essential for clinicians to stay abreast of emerging data and guidelines, balancing the benefits of novel agents against potential toxicities and individual patient needs.</w:t>
      </w:r>
    </w:p>
    <w:p>
      <w:pPr>
        <w:spacing w:after="120"/>
      </w:pPr>
      <w:r>
        <w:t xml:space="preserve">In conclusion, while significant progress has been made in MM treatment over the past decade, challenges persist in the management of high-risk disease, achievement of deep responses, and ensuring accessibility to effective therapies. Ongoing research aims to address these gaps, with a focus on developing more targeted, personalized, and sustainable treatment approaches [Anderson et al., 2020]. By integrating evidence-based strategies into daily practice, clinicians can optimize patient outcomes and contribute to the ongoing improvement in MM care.</w:t>
      </w:r>
    </w:p>
    <w:p>
      <w:pPr>
        <w:pStyle w:val="Heading1"/>
        <w:spacing w:before="320" w:after="160"/>
      </w:pPr>
      <w:r>
        <w:t xml:space="preserve">References</w:t>
      </w:r>
    </w:p>
    <w:p>
      <w:pPr>
        <w:spacing w:after="120"/>
      </w:pPr>
      <w:r>
        <w:t xml:space="preserve">1. Kyle RA et al., The New England Journal of Medicine, 2003;349:1659-1667</w:t>
      </w:r>
    </w:p>
    <w:p>
      <w:pPr>
        <w:spacing w:after="120"/>
      </w:pPr>
      <w:r>
        <w:t xml:space="preserve">2. Rajkumar SV et al., Blood, 2014;124:1915-1921</w:t>
      </w:r>
    </w:p>
    <w:p>
      <w:pPr>
        <w:spacing w:after="120"/>
      </w:pPr>
      <w:r>
        <w:t xml:space="preserve">3. International Myeloma Working Group, Blood, 2003;102:1877-1883</w:t>
      </w:r>
    </w:p>
    <w:p>
      <w:pPr>
        <w:spacing w:after="120"/>
      </w:pPr>
      <w:r>
        <w:t xml:space="preserve">4. Greipp PR et al., Journal of Clinical Oncology, 2005;23:3412-3420</w:t>
      </w:r>
    </w:p>
    <w:p>
      <w:pPr>
        <w:spacing w:after="120"/>
      </w:pPr>
      <w:r>
        <w:t xml:space="preserve">5. Harousseau JL et al., The Lancet, 2006;368:1069-1077</w:t>
      </w:r>
    </w:p>
    <w:p>
      <w:pPr>
        <w:spacing w:after="120"/>
      </w:pPr>
      <w:r>
        <w:t xml:space="preserve">6. Attal M et al., The New England Journal of Medicine, 2006;355:1021-1032</w:t>
      </w:r>
    </w:p>
    <w:p>
      <w:pPr>
        <w:spacing w:after="120"/>
      </w:pPr>
      <w:r>
        <w:t xml:space="preserve">7. Child JA et al., The New England Journal of Medicine, 2003;348:1871-1878</w:t>
      </w:r>
    </w:p>
    <w:p>
      <w:pPr>
        <w:spacing w:after="120"/>
      </w:pPr>
      <w:r>
        <w:t xml:space="preserve">8. Morgan GJ et al., Blood, 2012;120:5202-5211</w:t>
      </w:r>
    </w:p>
    <w:p>
      <w:pPr>
        <w:spacing w:after="120"/>
      </w:pPr>
      <w:r>
        <w:t xml:space="preserve">9. Palumbo A et al., The New England Journal of Medicine, 2004;351:1046-1054</w:t>
      </w:r>
    </w:p>
    <w:p>
      <w:pPr>
        <w:spacing w:after="120"/>
      </w:pPr>
      <w:r>
        <w:t xml:space="preserve">10. Richardson PG et al., Blood, 2010;116:3601-3609</w:t>
      </w:r>
    </w:p>
    <w:p>
      <w:pPr>
        <w:spacing w:after="120"/>
      </w:pPr>
      <w:r>
        <w:t xml:space="preserve">11. San Miguel JF et al., Blood, 2008;112:1666-1673</w:t>
      </w:r>
    </w:p>
    <w:p>
      <w:pPr>
        <w:spacing w:after="120"/>
      </w:pPr>
      <w:r>
        <w:t xml:space="preserve">12. Kumar SK et al., Blood, 2014;123:1120-1126</w:t>
      </w:r>
    </w:p>
    <w:p>
      <w:pPr>
        <w:spacing w:after="120"/>
      </w:pPr>
      <w:r>
        <w:t xml:space="preserve">13. Anderson KC et al., Journal of Clinical Oncology, 2008;26:4798-4803</w:t>
      </w:r>
    </w:p>
    <w:p>
      <w:pPr>
        <w:spacing w:after="120"/>
      </w:pPr>
      <w:r>
        <w:t xml:space="preserve">14. Lacy MQ et al., Journal of Clinical Oncology, 2009;27:2142-2148</w:t>
      </w:r>
    </w:p>
    <w:p>
      <w:pPr>
        <w:spacing w:after="120"/>
      </w:pPr>
      <w:r>
        <w:t xml:space="preserve">15. Dimopoulos MA et al., Blood, 2010;116:1705-1712</w:t>
      </w:r>
    </w:p>
    <w:p>
      <w:pPr>
        <w:spacing w:after="120"/>
      </w:pPr>
      <w:r>
        <w:t xml:space="preserve">16. Lonial S et al., The New England Journal of Medicine, 2015;373:2121-2131</w:t>
      </w:r>
    </w:p>
    <w:p>
      <w:pPr>
        <w:spacing w:after="120"/>
      </w:pPr>
      <w:r>
        <w:t xml:space="preserve">17. McCarthy PL et al., The Lancet, 2012;379:1045-1053</w:t>
      </w:r>
    </w:p>
    <w:p>
      <w:pPr>
        <w:spacing w:after="120"/>
      </w:pPr>
      <w:r>
        <w:t xml:space="preserve">18. Durie GB et al., Blood, 2006;108:3553-3563</w:t>
      </w:r>
    </w:p>
    <w:p>
      <w:pPr>
        <w:spacing w:after="120"/>
      </w:pPr>
      <w:r>
        <w:t xml:space="preserve">19. Moreau P et al., The New England Journal of Medicine, 2012;366:1782-1791</w:t>
      </w:r>
    </w:p>
    <w:p>
      <w:pPr>
        <w:spacing w:after="120"/>
      </w:pPr>
      <w:r>
        <w:t xml:space="preserve">20. Benboubker L et al., The Lancet, 2014;384:207-217</w:t>
      </w:r>
    </w:p>
    <w:p>
      <w:pPr>
        <w:spacing w:after="120"/>
      </w:pPr>
      <w:r>
        <w:t xml:space="preserve">21. Siegel DS et al., Blood, 2013;122:128-136</w:t>
      </w:r>
    </w:p>
    <w:p>
      <w:pPr>
        <w:spacing w:after="120"/>
      </w:pPr>
      <w:r>
        <w:t xml:space="preserve">22. Jagannath S et al., The New England Journal of Medicine, 2004;351:1061-1070</w:t>
      </w:r>
    </w:p>
    <w:p>
      <w:pPr>
        <w:spacing w:after="120"/>
      </w:pPr>
      <w:r>
        <w:t xml:space="preserve">23. Singhal S et al., Journal of Clinical Oncology, 1999;17:2687-2692</w:t>
      </w:r>
    </w:p>
    <w:p>
      <w:pPr>
        <w:spacing w:after="120"/>
      </w:pPr>
      <w:r>
        <w:t xml:space="preserve">24. Stadtmauer EA et al., Journal of Clinical Oncology, 2000;18:326-333</w:t>
      </w:r>
    </w:p>
    <w:p>
      <w:pPr>
        <w:spacing w:after="120"/>
      </w:pPr>
      <w:r>
        <w:t xml:space="preserve">25. Barlogie B et al., Blood, 2006;108:2020-2028</w:t>
      </w:r>
    </w:p>
    <w:p>
      <w:pPr>
        <w:spacing w:after="120"/>
      </w:pPr>
      <w:r>
        <w:t xml:space="preserve">26. Cavo M et al., Blood, 2010;116:1408-1417</w:t>
      </w:r>
    </w:p>
    <w:p>
      <w:pPr>
        <w:spacing w:after="120"/>
      </w:pPr>
      <w:r>
        <w:t xml:space="preserve">27. Goldschmidt H et al., The Lancet, 2013;381:1187-1196</w:t>
      </w:r>
    </w:p>
    <w:p>
      <w:pPr>
        <w:spacing w:after="120"/>
      </w:pPr>
      <w:r>
        <w:t xml:space="preserve">28. Laubach JP et al., Journal of Clinical Oncology, 2015;33:339-346</w:t>
      </w:r>
    </w:p>
    <w:p>
      <w:pPr>
        <w:spacing w:after="120"/>
      </w:pPr>
      <w:r>
        <w:t xml:space="preserve">29. Bringhen S et al., Blood, 2014;124:1311-1319</w:t>
      </w:r>
    </w:p>
    <w:p>
      <w:pPr>
        <w:spacing w:after="120"/>
      </w:pPr>
      <w:r>
        <w:t xml:space="preserve">30. Avet-Loiseau H et al., The New England Journal of Medicine, 2007;357:2123-2132</w:t>
      </w:r>
    </w:p>
    <w:p>
      <w:pPr>
        <w:spacing w:after="120"/>
      </w:pPr>
      <w:r>
        <w:t xml:space="preserve">31. Fonseca R et al., Blood, 2009;114:1755-1761</w:t>
      </w:r>
    </w:p>
    <w:p>
      <w:pPr>
        <w:spacing w:after="120"/>
      </w:pPr>
      <w:r>
        <w:t xml:space="preserve">32. Greipp PR et al., Journal of Clinical Oncology, 2008;26:5284-5290</w:t>
      </w:r>
    </w:p>
    <w:p>
      <w:pPr>
        <w:spacing w:after="120"/>
      </w:pPr>
      <w:r>
        <w:t xml:space="preserve">33. Ludwig H et al., The Lancet Oncology, 2013;14:1049-1056</w:t>
      </w:r>
    </w:p>
    <w:p>
      <w:pPr>
        <w:spacing w:after="120"/>
      </w:pPr>
      <w:r>
        <w:t xml:space="preserve">34. Orlowski RZ et al., Blood, 2015;126:391-398</w:t>
      </w:r>
    </w:p>
    <w:p>
      <w:pPr>
        <w:spacing w:after="120"/>
      </w:pPr>
      <w:r>
        <w:t xml:space="preserve">35. Rajkumar SV et al., Leukemia, 2014;28:215-223</w:t>
      </w:r>
    </w:p>
    <w:p>
      <w:pPr>
        <w:spacing w:after="120"/>
      </w:pPr>
      <w:r>
        <w:t xml:space="preserve">36. Weber DM et al., Journal of Clinical Oncology, 2003;21:4259-4267</w:t>
      </w:r>
    </w:p>
    <w:p>
      <w:pPr>
        <w:spacing w:after="120"/>
      </w:pPr>
      <w:r>
        <w:t xml:space="preserve">37. Sonneveld P et al., Blood, 2013;122:1617-1625</w:t>
      </w:r>
    </w:p>
    <w:p>
      <w:pPr>
        <w:spacing w:after="120"/>
      </w:pPr>
      <w:r>
        <w:t xml:space="preserve">38. Einsele H et al., Blood, 2009;114:2476-2484</w:t>
      </w:r>
    </w:p>
    <w:p>
      <w:pPr>
        <w:spacing w:after="120"/>
      </w:pPr>
      <w:r>
        <w:t xml:space="preserve">39. Palumbo A et al., Blood, 2011;118:5752-5758</w:t>
      </w:r>
    </w:p>
    <w:p>
      <w:pPr>
        <w:spacing w:after="120"/>
      </w:pPr>
      <w:r>
        <w:t xml:space="preserve">40. Korde N et al., Blood, 2011;118:4771-4776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Multiple Myeloma: A Comprehensive Review of Pathophysiology, Diagnosis and Emerging Therapies</dc:title>
  <dc:creator>MM Article Writer</dc:creator>
  <cp:lastModifiedBy>Un-named</cp:lastModifiedBy>
  <cp:revision>1</cp:revision>
  <dcterms:created xsi:type="dcterms:W3CDTF">2026-03-21T12:29:08.663Z</dcterms:created>
  <dcterms:modified xsi:type="dcterms:W3CDTF">2026-03-21T12:29:08.663Z</dcterms:modified>
</cp:coreProperties>
</file>

<file path=docProps/custom.xml><?xml version="1.0" encoding="utf-8"?>
<Properties xmlns="http://schemas.openxmlformats.org/officeDocument/2006/custom-properties" xmlns:vt="http://schemas.openxmlformats.org/officeDocument/2006/docPropsVTypes"/>
</file>