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b/>
          <w:color w:val="6C757D"/>
          <w:sz w:val="26"/>
        </w:rPr>
        <w:t>A PROJECT REPORT ON</w:t>
        <w:br/>
      </w:r>
      <w:r>
        <w:rPr>
          <w:b/>
          <w:color w:val="102C57"/>
          <w:sz w:val="40"/>
        </w:rPr>
        <w:t>EDGEGUARD AI: REAL-TIME MACHINE HEALTH MONITORING AND PREDICTIVE MAINTENANCE USING AZURE MACHINE LEARNING AND IOT EDGE</w:t>
        <w:br/>
      </w:r>
      <w:r>
        <w:rPr>
          <w:i/>
          <w:color w:val="00A8CC"/>
          <w:sz w:val="24"/>
        </w:rPr>
        <w:br/>
        <w:t>3D Interactive Digital Twin &amp; On-Premises Sub-Millisecond Edge Machine Learning</w:t>
        <w:br/>
      </w:r>
    </w:p>
    <w:p>
      <w:pPr>
        <w:spacing w:before="200" w:after="600"/>
        <w:jc w:val="center"/>
      </w:pPr>
      <w:r>
        <w:rPr>
          <w:b/>
          <w:color w:val="00A8CC"/>
        </w:rPr>
        <w:t>――――――――――――――――――――――――――――――――――――――</w:t>
      </w:r>
    </w:p>
    <w:p>
      <w:pPr>
        <w:spacing w:before="400" w:after="160"/>
        <w:jc w:val="center"/>
      </w:pPr>
      <w:r>
        <w:rPr>
          <w:sz w:val="22"/>
        </w:rPr>
        <w:t>Submitted in partial fulfillment of the requirements for the evaluation of</w:t>
        <w:br/>
      </w:r>
      <w:r>
        <w:rPr>
          <w:b/>
          <w:color w:val="102C57"/>
          <w:sz w:val="26"/>
        </w:rPr>
        <w:t>AIEC MINI-PROJECT / B.TECH DEGREE</w:t>
        <w:br/>
      </w:r>
    </w:p>
    <w:p>
      <w:pPr>
        <w:spacing w:before="700" w:after="200"/>
        <w:jc w:val="center"/>
      </w:pPr>
      <w:r>
        <w:rPr>
          <w:b/>
          <w:color w:val="6C757D"/>
          <w:sz w:val="22"/>
        </w:rPr>
        <w:t>SUBMITTED BY:</w:t>
        <w:br/>
      </w:r>
      <w:r>
        <w:rPr>
          <w:b/>
          <w:color w:val="102C57"/>
          <w:sz w:val="28"/>
        </w:rPr>
        <w:t>SHRUSHTI PATIL</w:t>
        <w:br/>
      </w:r>
      <w:r>
        <w:rPr>
          <w:color w:val="212529"/>
          <w:sz w:val="21"/>
        </w:rPr>
        <w:t>GitHub Profile: https://github.com/shrushti96-dot/EdgeGuard-AI</w:t>
        <w:br/>
        <w:t>Department of Computer Science &amp; Engineering / Artificial Intelligence</w:t>
        <w:br/>
        <w:t>Academic Year 2026 – 2027</w:t>
      </w:r>
    </w:p>
    <w:p>
      <w:r>
        <w:br w:type="page"/>
      </w:r>
    </w:p>
    <w:p>
      <w:pPr>
        <w:pStyle w:val="Heading1"/>
        <w:spacing w:before="200" w:after="280"/>
      </w:pPr>
      <w:r>
        <w:rPr>
          <w:color w:val="102C57"/>
        </w:rPr>
        <w:t>CERTIFICATE OF COMPLETION</w:t>
      </w:r>
    </w:p>
    <w:p>
      <w:pPr>
        <w:spacing w:line="300" w:lineRule="auto" w:after="280"/>
      </w:pPr>
      <w:r>
        <w:t>This is to certify that the project entitled "EDGEGUARD AI: Real-Time Machine Health Monitoring and Predictive Maintenance Using Azure Machine Learning and IoT Edge" is a bonafide record of independent technical work carried out by Shrushti Patil under academic supervision and guidance. The application integrates an authentic 3D WebGL industrial digital twin, high-frequency IoT physical simulation, genuine Random Forest edge inference, and Microsoft Azure Machine Learning SDK v2 model governance.</w:t>
      </w:r>
    </w:p>
    <w:p>
      <w:r>
        <w:br/>
        <w:br/>
      </w:r>
    </w:p>
    <w:tbl>
      <w:tblPr>
        <w:tblW w:type="auto" w:w="0"/>
        <w:jc w:val="center"/>
        <w:tblLook w:firstColumn="1" w:firstRow="1" w:lastColumn="0" w:lastRow="0" w:noHBand="0" w:noVBand="1" w:val="04A0"/>
      </w:tblPr>
      <w:tblGrid>
        <w:gridCol w:w="4680"/>
        <w:gridCol w:w="4680"/>
      </w:tblGrid>
      <w:tr>
        <w:tc>
          <w:tcPr>
            <w:tcW w:type="dxa" w:w="4680"/>
          </w:tcPr>
          <w:p>
            <w:r>
              <w:rPr>
                <w:sz w:val="20"/>
              </w:rPr>
              <w:t>_________________________</w:t>
              <w:br/>
              <w:t>Project Guide / Internal Supervisor</w:t>
              <w:br/>
              <w:t>Department of CSE / AI</w:t>
            </w:r>
          </w:p>
        </w:tc>
        <w:tc>
          <w:tcPr>
            <w:tcW w:type="dxa" w:w="4680"/>
          </w:tcPr>
          <w:p>
            <w:pPr>
              <w:jc w:val="right"/>
            </w:pPr>
            <w:r>
              <w:rPr>
                <w:sz w:val="20"/>
              </w:rPr>
              <w:t>_________________________</w:t>
              <w:br/>
              <w:t>Head of Department (HOD)</w:t>
              <w:br/>
              <w:t>Dean of Academic Affairs</w:t>
            </w:r>
          </w:p>
        </w:tc>
      </w:tr>
    </w:tbl>
    <w:p>
      <w:r>
        <w:br w:type="page"/>
      </w:r>
    </w:p>
    <w:p>
      <w:pPr>
        <w:pStyle w:val="Heading1"/>
        <w:spacing w:before="200" w:after="240"/>
      </w:pPr>
      <w:r>
        <w:rPr>
          <w:color w:val="102C57"/>
        </w:rPr>
        <w:t>ABSTRACT</w:t>
      </w:r>
    </w:p>
    <w:p>
      <w:pPr>
        <w:spacing w:line="300" w:lineRule="auto" w:after="240"/>
      </w:pPr>
      <w:r>
        <w:t>Unplanned machinery breakdowns in industrial manufacturing plants account for over $50 billion annually in lost productivity and catastrophic downtime. Traditional condition monitoring relying solely on cloud-based analytics suffers from high latency, massive cloud ingress bandwidth expenses, and total failure vulnerability when network outages disconnect the plant floor. This project presents EdgeGuard AI, an industrial-grade cyber-physical digital twin and predictive maintenance system engineered to combine cloud intelligence (Azure Machine Learning) with real-time, autonomous on-premises execution (Azure IoT Edge).</w:t>
        <w:br/>
        <w:br/>
        <w:t>EdgeGuard AI models an interactive 3D WebGL factory floor comprising six distinct machine assets: CNC Machine (M-01), Industrial Motor (M-02), Hydraulic Press (M-03), Conveyor System (M-04), Cooling Unit (M-05), and Assembly Station (M-06). A calibrated Random Forest Classifier running locally processes multivariate telemetry (temperature, vibration, rotational dynamics, torque, tool wear, and operating load) in under 1.0 millisecond. The inference runtime combines probabilistic machine learning with deterministic engineering safety threshold rules, driving dynamic stack beacon alerts and overhead 3D-projected labels. Evaluated on a held-out test set of 500 industrial records, the model achieves 87.60% Accuracy, 75.24% Precision, 68.70% Recall, 0.7182 F1-Score, and 0.8913 ROC-AUC. The platform includes built-in on-demand fault injection, interactive SCADA trend analytics, and automated CSV telemetry logging.</w:t>
      </w:r>
    </w:p>
    <w:p>
      <w:r>
        <w:br w:type="page"/>
      </w:r>
    </w:p>
    <w:p>
      <w:pPr>
        <w:pStyle w:val="Heading1"/>
      </w:pPr>
      <w:r>
        <w:rPr>
          <w:color w:val="102C57"/>
        </w:rPr>
        <w:t>CHAPTER 1: INTRODUCTION</w:t>
      </w:r>
    </w:p>
    <w:p>
      <w:pPr>
        <w:spacing w:line="288" w:lineRule="auto"/>
      </w:pPr>
      <w:r>
        <w:rPr>
          <w:b/>
        </w:rPr>
        <w:t>1.1 Background &amp; Industrial Challenge</w:t>
        <w:br/>
      </w:r>
      <w:r>
        <w:t>Modern manufacturing facilities operate complex electro-mechanical machines continuously. Components such as spindles, bearings, hydraulic rams, and motor stators experience progressive thermal, mechanical, and rotational degradation. Conventional maintenance follows either reactive protocols (fixing machines only after catastrophic breakdown) or preventative schedules (replacing components at fixed intervals regardless of condition). Predictive Maintenance (PdM) uses continuous IoT telemetry and machine learning to anticipate impending failures before they occur, scheduling timely interventions and preventing catastrophic plant stoppages.</w:t>
      </w:r>
    </w:p>
    <w:p>
      <w:pPr>
        <w:spacing w:line="288" w:lineRule="auto"/>
      </w:pPr>
      <w:r>
        <w:rPr>
          <w:b/>
        </w:rPr>
        <w:t>1.2 The Edge Computing Imperative</w:t>
        <w:br/>
      </w:r>
      <w:r>
        <w:t>While cloud platforms such as Microsoft Azure ML offer vast compute for model training, real-time industrial plants cannot rely exclusively on cloud roundtrips for critical safety stops. A typical manufacturing facility produces gigabytes of telemetry every hour; routing this continuous stream to cloud endpoints introduces 150–500 ms network latency and exposes safety-critical shutdown triggers to internet dropouts. EdgeGuard AI resolves this challenge by decoupling model training from edge inference: the model is trained and versioned in Azure ML Model Registry, but serialized and executed autonomously on-premises via an edge container runtime achieving sub-millisecond (&lt; 1 ms) predictions.</w:t>
      </w:r>
    </w:p>
    <w:p>
      <w:pPr>
        <w:spacing w:line="288" w:lineRule="auto"/>
      </w:pPr>
      <w:r>
        <w:rPr>
          <w:b/>
        </w:rPr>
        <w:t>1.3 Core Project Objectives</w:t>
        <w:br/>
      </w:r>
      <w:r>
        <w:t>1. Interactive 3D Digital Twin: Render a responsive 3D WebGL factory environment with recognizable geometry, kinematic component animations, and an autonomous inspection AGV rover.</w:t>
        <w:br/>
        <w:t>2. Persistent Overhead Machine Identifiers: Ensure all 6 machine names, IDs, and live tri-state health status dots (Normal, Warning, Critical) remain visible simultaneously above each machine using 3D-to-2D matrix projection.</w:t>
        <w:br/>
        <w:t>3. Real-Time Physical Sensor Simulation: Model realistic correlations between speed, torque, thermal load, and tool degradation with continuous brownian drift.</w:t>
        <w:br/>
        <w:t>4. Dual-Layer Predictive Edge Inference: Combine statistical Random Forest classification with deterministic physical safety limit checks.</w:t>
        <w:br/>
        <w:t>5. Interactive Fault Injection: Enable operators to inject test anomalies (Thermal Surge, Mechanical Overstrain, Tool Wear, Vibration Instability) and observe live cascade reactions.</w:t>
        <w:br/>
        <w:t>6. Industrial SCADA Dashboard: Provide live KPI metrics, multi-axis trends, fleet health donut charts, authentic benchmark tables, and CSV data export.</w:t>
      </w:r>
    </w:p>
    <w:p>
      <w:r>
        <w:br w:type="page"/>
      </w:r>
    </w:p>
    <w:p>
      <w:pPr>
        <w:pStyle w:val="Heading1"/>
      </w:pPr>
      <w:r>
        <w:rPr>
          <w:color w:val="102C57"/>
        </w:rPr>
        <w:t>CHAPTER 2: SYSTEM ARCHITECTURE &amp; DESIGN</w:t>
      </w:r>
    </w:p>
    <w:p>
      <w:pPr>
        <w:spacing w:line="288" w:lineRule="auto"/>
      </w:pPr>
      <w:r>
        <w:t>EdgeGuard AI follows an edge-cloud hybrid cyber-physical architecture. The architecture is organized into five clearly separated, top-to-bottom processing stages ensuring modularity, reliability, and sub-millisecond responsiveness.</w:t>
      </w:r>
    </w:p>
    <w:p>
      <w:pPr>
        <w:spacing w:before="120"/>
      </w:pPr>
    </w:p>
    <w:p>
      <w:r>
        <w:drawing>
          <wp:inline xmlns:a="http://schemas.openxmlformats.org/drawingml/2006/main" xmlns:pic="http://schemas.openxmlformats.org/drawingml/2006/picture">
            <wp:extent cx="5852160" cy="409651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852160" cy="4096512"/>
                    </a:xfrm>
                    <a:prstGeom prst="rect"/>
                  </pic:spPr>
                </pic:pic>
              </a:graphicData>
            </a:graphic>
          </wp:inline>
        </w:drawing>
      </w:r>
    </w:p>
    <w:p>
      <w:pPr>
        <w:spacing w:before="80" w:after="240"/>
        <w:jc w:val="center"/>
      </w:pPr>
      <w:r>
        <w:rPr>
          <w:b/>
          <w:color w:val="102C57"/>
          <w:sz w:val="19"/>
        </w:rPr>
        <w:t>Figure 2.1: EdgeGuard AI End-to-End System Architectural Workflow</w:t>
      </w:r>
    </w:p>
    <w:p>
      <w:pPr>
        <w:pStyle w:val="Heading2"/>
      </w:pPr>
      <w:r>
        <w:rPr>
          <w:color w:val="102C57"/>
        </w:rPr>
        <w:t>2.1 Five-Stage Processing Pipeline</w:t>
      </w:r>
    </w:p>
    <w:p>
      <w:pPr>
        <w:spacing w:line="288" w:lineRule="auto"/>
      </w:pPr>
      <w:r>
        <w:t>• Stage 1: Simulated IoT Sensors Layer — Continuous telemetry ingestion synthesizing six real-time physical parameters (air temperature, process temperature, rotational speed in RPM, mechanical torque in Nm, tool wear in minutes, and operating load percentage). Features realistic brownian noise and dynamic thermal dissipation.</w:t>
        <w:br/>
        <w:br/>
        <w:t>• Stage 2: EdgeGuard AI Edge Inference Runtime — Local Python/container execution runtime. It standardizes telemetry snapshots and passes them into the pre-trained RandomForestClassifier artifact with zero cloud dependency and sub-millisecond execution.</w:t>
        <w:br/>
        <w:br/>
        <w:t>• Stage 3: Machine Health &amp; Safety Assessment — Dual-layer diagnostic resolver combining statistical class probabilities with deterministic physical safety threshold checks (e.g. Process Temp &gt; 46.5°C, Torque &gt; 68.0 Nm). Outputs unified tri-state classification: Normal (Green), Warning (Amber), or Critical (Red).</w:t>
        <w:br/>
        <w:br/>
        <w:t>• Stage 4: 3D Digital Twin &amp; SCADA Operator Dashboard — Interactive Three.js WebGL factory scene with 6 permanent overhead world-projected DOM badges, kinetic component animations, multi-axis Plotly trend graphs, fleet donut distribution, and CSV export.</w:t>
        <w:br/>
        <w:br/>
        <w:t>• Stage 5: Microsoft Azure Machine Learning — Cloud governance layer providing versioned model registration (SDK v2) and deployment artifact packaging with graceful local fallback.</w:t>
      </w:r>
    </w:p>
    <w:p>
      <w:pPr>
        <w:pStyle w:val="Heading2"/>
      </w:pPr>
      <w:r>
        <w:rPr>
          <w:color w:val="102C57"/>
        </w:rPr>
        <w:t>2.2 Industrial Machine Fleet Specifications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02C57"/>
          </w:tcPr>
          <w:p>
            <w:r>
              <w:rPr>
                <w:b/>
                <w:color w:val="FFFFFF"/>
                <w:sz w:val="18"/>
              </w:rPr>
              <w:t>Machine ID</w:t>
            </w:r>
          </w:p>
        </w:tc>
        <w:tc>
          <w:tcPr>
            <w:tcW w:type="dxa" w:w="1872"/>
            <w:shd w:fill="102C57"/>
          </w:tcPr>
          <w:p>
            <w:r>
              <w:rPr>
                <w:b/>
                <w:color w:val="FFFFFF"/>
                <w:sz w:val="18"/>
              </w:rPr>
              <w:t>Machine Name</w:t>
            </w:r>
          </w:p>
        </w:tc>
        <w:tc>
          <w:tcPr>
            <w:tcW w:type="dxa" w:w="1872"/>
            <w:shd w:fill="102C57"/>
          </w:tcPr>
          <w:p>
            <w:r>
              <w:rPr>
                <w:b/>
                <w:color w:val="FFFFFF"/>
                <w:sz w:val="18"/>
              </w:rPr>
              <w:t>Classification Type</w:t>
            </w:r>
          </w:p>
        </w:tc>
        <w:tc>
          <w:tcPr>
            <w:tcW w:type="dxa" w:w="1872"/>
            <w:shd w:fill="102C57"/>
          </w:tcPr>
          <w:p>
            <w:r>
              <w:rPr>
                <w:b/>
                <w:color w:val="FFFFFF"/>
                <w:sz w:val="18"/>
              </w:rPr>
              <w:t>Kinematic Kinematics &amp; 3D Geometry</w:t>
            </w:r>
          </w:p>
        </w:tc>
        <w:tc>
          <w:tcPr>
            <w:tcW w:type="dxa" w:w="1872"/>
            <w:shd w:fill="102C57"/>
          </w:tcPr>
          <w:p>
            <w:r>
              <w:rPr>
                <w:b/>
                <w:color w:val="FFFFFF"/>
                <w:sz w:val="18"/>
              </w:rPr>
              <w:t>Nominal Setpoints</w:t>
            </w:r>
          </w:p>
        </w:tc>
      </w:tr>
      <w:tr>
        <w:tc>
          <w:tcPr>
            <w:tcW w:type="dxa" w:w="1872"/>
            <w:shd w:fill="F8FAFC"/>
          </w:tcPr>
          <w:p>
            <w:r>
              <w:rPr>
                <w:color w:val="212529"/>
                <w:sz w:val="17"/>
              </w:rPr>
              <w:t>M-01</w:t>
            </w:r>
          </w:p>
        </w:tc>
        <w:tc>
          <w:tcPr>
            <w:tcW w:type="dxa" w:w="1872"/>
            <w:shd w:fill="F8FAFC"/>
          </w:tcPr>
          <w:p>
            <w:r>
              <w:rPr>
                <w:color w:val="212529"/>
                <w:sz w:val="17"/>
              </w:rPr>
              <w:t>CNC Machine</w:t>
            </w:r>
          </w:p>
        </w:tc>
        <w:tc>
          <w:tcPr>
            <w:tcW w:type="dxa" w:w="1872"/>
            <w:shd w:fill="F8FAFC"/>
          </w:tcPr>
          <w:p>
            <w:r>
              <w:rPr>
                <w:color w:val="212529"/>
                <w:sz w:val="17"/>
              </w:rPr>
              <w:t>Precision CNC Milling</w:t>
            </w:r>
          </w:p>
        </w:tc>
        <w:tc>
          <w:tcPr>
            <w:tcW w:type="dxa" w:w="1872"/>
            <w:shd w:fill="F8FAFC"/>
          </w:tcPr>
          <w:p>
            <w:r>
              <w:rPr>
                <w:color w:val="212529"/>
                <w:sz w:val="17"/>
              </w:rPr>
              <w:t>Enclosure, acrylic safety window, rotating spindle, touchscreen console</w:t>
            </w:r>
          </w:p>
        </w:tc>
        <w:tc>
          <w:tcPr>
            <w:tcW w:type="dxa" w:w="1872"/>
            <w:shd w:fill="F8FAFC"/>
          </w:tcPr>
          <w:p>
            <w:r>
              <w:rPr>
                <w:color w:val="212529"/>
                <w:sz w:val="17"/>
              </w:rPr>
              <w:t>1640 RPM | 47.5 Nm | 40.2°C</w:t>
            </w:r>
          </w:p>
        </w:tc>
      </w:tr>
      <w:tr>
        <w:tc>
          <w:tcPr>
            <w:tcW w:type="dxa" w:w="1872"/>
            <w:shd w:fill="FFFFFF"/>
          </w:tcPr>
          <w:p>
            <w:r>
              <w:rPr>
                <w:color w:val="212529"/>
                <w:sz w:val="17"/>
              </w:rPr>
              <w:t>M-02</w:t>
            </w:r>
          </w:p>
        </w:tc>
        <w:tc>
          <w:tcPr>
            <w:tcW w:type="dxa" w:w="1872"/>
            <w:shd w:fill="FFFFFF"/>
          </w:tcPr>
          <w:p>
            <w:r>
              <w:rPr>
                <w:color w:val="212529"/>
                <w:sz w:val="17"/>
              </w:rPr>
              <w:t>Industrial Motor</w:t>
            </w:r>
          </w:p>
        </w:tc>
        <w:tc>
          <w:tcPr>
            <w:tcW w:type="dxa" w:w="1872"/>
            <w:shd w:fill="FFFFFF"/>
          </w:tcPr>
          <w:p>
            <w:r>
              <w:rPr>
                <w:color w:val="212529"/>
                <w:sz w:val="17"/>
              </w:rPr>
              <w:t>Heavy AC Induction Drive</w:t>
            </w:r>
          </w:p>
        </w:tc>
        <w:tc>
          <w:tcPr>
            <w:tcW w:type="dxa" w:w="1872"/>
            <w:shd w:fill="FFFFFF"/>
          </w:tcPr>
          <w:p>
            <w:r>
              <w:rPr>
                <w:color w:val="212529"/>
                <w:sz w:val="17"/>
              </w:rPr>
              <w:t>Ribbed stator with cooling fins, rotating output shaft, fan shroud</w:t>
            </w:r>
          </w:p>
        </w:tc>
        <w:tc>
          <w:tcPr>
            <w:tcW w:type="dxa" w:w="1872"/>
            <w:shd w:fill="FFFFFF"/>
          </w:tcPr>
          <w:p>
            <w:r>
              <w:rPr>
                <w:color w:val="212529"/>
                <w:sz w:val="17"/>
              </w:rPr>
              <w:t>1520 RPM | 52.0 Nm | 41.5°C</w:t>
            </w:r>
          </w:p>
        </w:tc>
      </w:tr>
      <w:tr>
        <w:tc>
          <w:tcPr>
            <w:tcW w:type="dxa" w:w="1872"/>
            <w:shd w:fill="F8FAFC"/>
          </w:tcPr>
          <w:p>
            <w:r>
              <w:rPr>
                <w:color w:val="212529"/>
                <w:sz w:val="17"/>
              </w:rPr>
              <w:t>M-03</w:t>
            </w:r>
          </w:p>
        </w:tc>
        <w:tc>
          <w:tcPr>
            <w:tcW w:type="dxa" w:w="1872"/>
            <w:shd w:fill="F8FAFC"/>
          </w:tcPr>
          <w:p>
            <w:r>
              <w:rPr>
                <w:color w:val="212529"/>
                <w:sz w:val="17"/>
              </w:rPr>
              <w:t>Hydraulic Press</w:t>
            </w:r>
          </w:p>
        </w:tc>
        <w:tc>
          <w:tcPr>
            <w:tcW w:type="dxa" w:w="1872"/>
            <w:shd w:fill="F8FAFC"/>
          </w:tcPr>
          <w:p>
            <w:r>
              <w:rPr>
                <w:color w:val="212529"/>
                <w:sz w:val="17"/>
              </w:rPr>
              <w:t>Metal Stamping 500T</w:t>
            </w:r>
          </w:p>
        </w:tc>
        <w:tc>
          <w:tcPr>
            <w:tcW w:type="dxa" w:w="1872"/>
            <w:shd w:fill="F8FAFC"/>
          </w:tcPr>
          <w:p>
            <w:r>
              <w:rPr>
                <w:color w:val="212529"/>
                <w:sz w:val="17"/>
              </w:rPr>
              <w:t>4 steel columns, upper cylinder, reciprocating die ram, light curtains</w:t>
            </w:r>
          </w:p>
        </w:tc>
        <w:tc>
          <w:tcPr>
            <w:tcW w:type="dxa" w:w="1872"/>
            <w:shd w:fill="F8FAFC"/>
          </w:tcPr>
          <w:p>
            <w:r>
              <w:rPr>
                <w:color w:val="212529"/>
                <w:sz w:val="17"/>
              </w:rPr>
              <w:t>1420 RPM | 60.5 Nm | 43.0°C</w:t>
            </w:r>
          </w:p>
        </w:tc>
      </w:tr>
      <w:tr>
        <w:tc>
          <w:tcPr>
            <w:tcW w:type="dxa" w:w="1872"/>
            <w:shd w:fill="FFFFFF"/>
          </w:tcPr>
          <w:p>
            <w:r>
              <w:rPr>
                <w:color w:val="212529"/>
                <w:sz w:val="17"/>
              </w:rPr>
              <w:t>M-04</w:t>
            </w:r>
          </w:p>
        </w:tc>
        <w:tc>
          <w:tcPr>
            <w:tcW w:type="dxa" w:w="1872"/>
            <w:shd w:fill="FFFFFF"/>
          </w:tcPr>
          <w:p>
            <w:r>
              <w:rPr>
                <w:color w:val="212529"/>
                <w:sz w:val="17"/>
              </w:rPr>
              <w:t>Conveyor System</w:t>
            </w:r>
          </w:p>
        </w:tc>
        <w:tc>
          <w:tcPr>
            <w:tcW w:type="dxa" w:w="1872"/>
            <w:shd w:fill="FFFFFF"/>
          </w:tcPr>
          <w:p>
            <w:r>
              <w:rPr>
                <w:color w:val="212529"/>
                <w:sz w:val="17"/>
              </w:rPr>
              <w:t>Material Flow Transfer</w:t>
            </w:r>
          </w:p>
        </w:tc>
        <w:tc>
          <w:tcPr>
            <w:tcW w:type="dxa" w:w="1872"/>
            <w:shd w:fill="FFFFFF"/>
          </w:tcPr>
          <w:p>
            <w:r>
              <w:rPr>
                <w:color w:val="212529"/>
                <w:sz w:val="17"/>
              </w:rPr>
              <w:t>Support frame, rubber belt, dual transport pallets, drive motor</w:t>
            </w:r>
          </w:p>
        </w:tc>
        <w:tc>
          <w:tcPr>
            <w:tcW w:type="dxa" w:w="1872"/>
            <w:shd w:fill="FFFFFF"/>
          </w:tcPr>
          <w:p>
            <w:r>
              <w:rPr>
                <w:color w:val="212529"/>
                <w:sz w:val="17"/>
              </w:rPr>
              <w:t>1690 RPM | 43.0 Nm | 39.2°C</w:t>
            </w:r>
          </w:p>
        </w:tc>
      </w:tr>
      <w:tr>
        <w:tc>
          <w:tcPr>
            <w:tcW w:type="dxa" w:w="1872"/>
            <w:shd w:fill="F8FAFC"/>
          </w:tcPr>
          <w:p>
            <w:r>
              <w:rPr>
                <w:color w:val="212529"/>
                <w:sz w:val="17"/>
              </w:rPr>
              <w:t>M-05</w:t>
            </w:r>
          </w:p>
        </w:tc>
        <w:tc>
          <w:tcPr>
            <w:tcW w:type="dxa" w:w="1872"/>
            <w:shd w:fill="F8FAFC"/>
          </w:tcPr>
          <w:p>
            <w:r>
              <w:rPr>
                <w:color w:val="212529"/>
                <w:sz w:val="17"/>
              </w:rPr>
              <w:t>Cooling Unit</w:t>
            </w:r>
          </w:p>
        </w:tc>
        <w:tc>
          <w:tcPr>
            <w:tcW w:type="dxa" w:w="1872"/>
            <w:shd w:fill="F8FAFC"/>
          </w:tcPr>
          <w:p>
            <w:r>
              <w:rPr>
                <w:color w:val="212529"/>
                <w:sz w:val="17"/>
              </w:rPr>
              <w:t>Thermal Heat Chiller</w:t>
            </w:r>
          </w:p>
        </w:tc>
        <w:tc>
          <w:tcPr>
            <w:tcW w:type="dxa" w:w="1872"/>
            <w:shd w:fill="F8FAFC"/>
          </w:tcPr>
          <w:p>
            <w:r>
              <w:rPr>
                <w:color w:val="212529"/>
                <w:sz w:val="17"/>
              </w:rPr>
              <w:t>Louvered cabinet, dual top cowls with rotating 4-blade fans, pipes</w:t>
            </w:r>
          </w:p>
        </w:tc>
        <w:tc>
          <w:tcPr>
            <w:tcW w:type="dxa" w:w="1872"/>
            <w:shd w:fill="F8FAFC"/>
          </w:tcPr>
          <w:p>
            <w:r>
              <w:rPr>
                <w:color w:val="212529"/>
                <w:sz w:val="17"/>
              </w:rPr>
              <w:t>1580 RPM | 49.0 Nm | 38.5°C</w:t>
            </w:r>
          </w:p>
        </w:tc>
      </w:tr>
      <w:tr>
        <w:tc>
          <w:tcPr>
            <w:tcW w:type="dxa" w:w="1872"/>
            <w:shd w:fill="FFFFFF"/>
          </w:tcPr>
          <w:p>
            <w:r>
              <w:rPr>
                <w:color w:val="212529"/>
                <w:sz w:val="17"/>
              </w:rPr>
              <w:t>M-06</w:t>
            </w:r>
          </w:p>
        </w:tc>
        <w:tc>
          <w:tcPr>
            <w:tcW w:type="dxa" w:w="1872"/>
            <w:shd w:fill="FFFFFF"/>
          </w:tcPr>
          <w:p>
            <w:r>
              <w:rPr>
                <w:color w:val="212529"/>
                <w:sz w:val="17"/>
              </w:rPr>
              <w:t>Assembly Station</w:t>
            </w:r>
          </w:p>
        </w:tc>
        <w:tc>
          <w:tcPr>
            <w:tcW w:type="dxa" w:w="1872"/>
            <w:shd w:fill="FFFFFF"/>
          </w:tcPr>
          <w:p>
            <w:r>
              <w:rPr>
                <w:color w:val="212529"/>
                <w:sz w:val="17"/>
              </w:rPr>
              <w:t>Automated Robotic Cell</w:t>
            </w:r>
          </w:p>
        </w:tc>
        <w:tc>
          <w:tcPr>
            <w:tcW w:type="dxa" w:w="1872"/>
            <w:shd w:fill="FFFFFF"/>
          </w:tcPr>
          <w:p>
            <w:r>
              <w:rPr>
                <w:color w:val="212529"/>
                <w:sz w:val="17"/>
              </w:rPr>
              <w:t>Safety cage, 6-axis articulated robotic arm with swiveling shoulder</w:t>
            </w:r>
          </w:p>
        </w:tc>
        <w:tc>
          <w:tcPr>
            <w:tcW w:type="dxa" w:w="1872"/>
            <w:shd w:fill="FFFFFF"/>
          </w:tcPr>
          <w:p>
            <w:r>
              <w:rPr>
                <w:color w:val="212529"/>
                <w:sz w:val="17"/>
              </w:rPr>
              <w:t>1610 RPM | 51.5 Nm | 41.8°C</w:t>
            </w:r>
          </w:p>
        </w:tc>
      </w:tr>
    </w:tbl>
    <w:p>
      <w:r>
        <w:br w:type="page"/>
      </w:r>
    </w:p>
    <w:p>
      <w:pPr>
        <w:pStyle w:val="Heading1"/>
      </w:pPr>
      <w:r>
        <w:rPr>
          <w:color w:val="102C57"/>
        </w:rPr>
        <w:t>CHAPTER 3: MACHINE LEARNING MODEL &amp; INFERENCE PIPELINE</w:t>
      </w:r>
    </w:p>
    <w:p>
      <w:pPr>
        <w:spacing w:line="288" w:lineRule="auto"/>
      </w:pPr>
      <w:r>
        <w:rPr>
          <w:b/>
        </w:rPr>
        <w:t>3.1 Physics-Correlated Dataset Synthesis</w:t>
        <w:br/>
      </w:r>
      <w:r>
        <w:t>To train the predictive maintenance model, a dataset of 2,500 industrial records was generated modeling realistic physical phenomena:</w:t>
        <w:br/>
        <w:t>• Heat Dissipation Failure (HDF): Modeled via thermal rise (Process Temp - Air Temp &gt; 13.0°C and Process Temp &gt; 42.0°C).</w:t>
        <w:br/>
        <w:t>• Overstrain Failure (OSF): Modeled via excessive mechanical torque exceeding 56.0 Nm combined with tool wear accumulation.</w:t>
        <w:br/>
        <w:t>• Tool Wear Failure (TWF): Modeled via cutting tool degradation exceeding 180–200 minutes with exponential wear acceleration.</w:t>
        <w:br/>
        <w:t>• Rotational Instability: Modeled via sudden spindle drag or severe bearing oscillations outside the 1320–2100 RPM window.</w:t>
      </w:r>
    </w:p>
    <w:p>
      <w:pPr>
        <w:spacing w:line="288" w:lineRule="auto"/>
      </w:pPr>
      <w:r>
        <w:rPr>
          <w:b/>
        </w:rPr>
        <w:t>3.2 Random Forest Classifier Architecture</w:t>
        <w:br/>
      </w:r>
      <w:r>
        <w:t>The classification model uses a tuned RandomForestClassifier (120 decision trees, maximum depth 12, min_samples_split 4, balanced subsample weighting). The ensemble combines multiple decision boundaries to prevent overfitting, offering robust probabilistic outputs via calibrated tree voting.</w:t>
      </w:r>
    </w:p>
    <w:p>
      <w:pPr>
        <w:pStyle w:val="Heading2"/>
      </w:pPr>
      <w:r>
        <w:rPr>
          <w:color w:val="102C57"/>
        </w:rPr>
        <w:t>3.3 Authentic Evaluation Metrics (Held-Out Test Set: 500 Samples)</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120"/>
        <w:gridCol w:w="3120"/>
        <w:gridCol w:w="3120"/>
      </w:tblGrid>
      <w:tr>
        <w:tc>
          <w:tcPr>
            <w:tcW w:type="dxa" w:w="3120"/>
            <w:shd w:fill="102C57"/>
          </w:tcPr>
          <w:p>
            <w:r>
              <w:rPr>
                <w:b/>
                <w:color w:val="FFFFFF"/>
                <w:sz w:val="18"/>
              </w:rPr>
              <w:t>Performance Metric</w:t>
            </w:r>
          </w:p>
        </w:tc>
        <w:tc>
          <w:tcPr>
            <w:tcW w:type="dxa" w:w="3120"/>
            <w:shd w:fill="102C57"/>
          </w:tcPr>
          <w:p>
            <w:r>
              <w:rPr>
                <w:b/>
                <w:color w:val="FFFFFF"/>
                <w:sz w:val="18"/>
              </w:rPr>
              <w:t>Measured Value</w:t>
            </w:r>
          </w:p>
        </w:tc>
        <w:tc>
          <w:tcPr>
            <w:tcW w:type="dxa" w:w="3120"/>
            <w:shd w:fill="102C57"/>
          </w:tcPr>
          <w:p>
            <w:r>
              <w:rPr>
                <w:b/>
                <w:color w:val="FFFFFF"/>
                <w:sz w:val="18"/>
              </w:rPr>
              <w:t>Industrial Significance</w:t>
            </w:r>
          </w:p>
        </w:tc>
      </w:tr>
      <w:tr>
        <w:tc>
          <w:tcPr>
            <w:tcW w:type="dxa" w:w="3120"/>
            <w:shd w:fill="F8FAFC"/>
          </w:tcPr>
          <w:p>
            <w:r>
              <w:rPr>
                <w:color w:val="212529"/>
                <w:sz w:val="17"/>
              </w:rPr>
              <w:t>Accuracy</w:t>
            </w:r>
          </w:p>
        </w:tc>
        <w:tc>
          <w:tcPr>
            <w:tcW w:type="dxa" w:w="3120"/>
            <w:shd w:fill="F8FAFC"/>
          </w:tcPr>
          <w:p>
            <w:r>
              <w:rPr>
                <w:b/>
                <w:color w:val="102C57"/>
                <w:sz w:val="17"/>
              </w:rPr>
              <w:t>87.60%</w:t>
            </w:r>
          </w:p>
        </w:tc>
        <w:tc>
          <w:tcPr>
            <w:tcW w:type="dxa" w:w="3120"/>
            <w:shd w:fill="F8FAFC"/>
          </w:tcPr>
          <w:p>
            <w:r>
              <w:rPr>
                <w:color w:val="212529"/>
                <w:sz w:val="17"/>
              </w:rPr>
              <w:t>Consistently discriminates healthy vs anomalous machine cycles</w:t>
            </w:r>
          </w:p>
        </w:tc>
      </w:tr>
      <w:tr>
        <w:tc>
          <w:tcPr>
            <w:tcW w:type="dxa" w:w="3120"/>
            <w:shd w:fill="FFFFFF"/>
          </w:tcPr>
          <w:p>
            <w:r>
              <w:rPr>
                <w:color w:val="212529"/>
                <w:sz w:val="17"/>
              </w:rPr>
              <w:t>Precision</w:t>
            </w:r>
          </w:p>
        </w:tc>
        <w:tc>
          <w:tcPr>
            <w:tcW w:type="dxa" w:w="3120"/>
            <w:shd w:fill="FFFFFF"/>
          </w:tcPr>
          <w:p>
            <w:r>
              <w:rPr>
                <w:b/>
                <w:color w:val="102C57"/>
                <w:sz w:val="17"/>
              </w:rPr>
              <w:t>75.24%</w:t>
            </w:r>
          </w:p>
        </w:tc>
        <w:tc>
          <w:tcPr>
            <w:tcW w:type="dxa" w:w="3120"/>
            <w:shd w:fill="FFFFFF"/>
          </w:tcPr>
          <w:p>
            <w:r>
              <w:rPr>
                <w:color w:val="212529"/>
                <w:sz w:val="17"/>
              </w:rPr>
              <w:t>Minimizes false alarms, avoiding unnecessary machine shutdowns</w:t>
            </w:r>
          </w:p>
        </w:tc>
      </w:tr>
      <w:tr>
        <w:tc>
          <w:tcPr>
            <w:tcW w:type="dxa" w:w="3120"/>
            <w:shd w:fill="F8FAFC"/>
          </w:tcPr>
          <w:p>
            <w:r>
              <w:rPr>
                <w:color w:val="212529"/>
                <w:sz w:val="17"/>
              </w:rPr>
              <w:t>Recall</w:t>
            </w:r>
          </w:p>
        </w:tc>
        <w:tc>
          <w:tcPr>
            <w:tcW w:type="dxa" w:w="3120"/>
            <w:shd w:fill="F8FAFC"/>
          </w:tcPr>
          <w:p>
            <w:r>
              <w:rPr>
                <w:b/>
                <w:color w:val="102C57"/>
                <w:sz w:val="17"/>
              </w:rPr>
              <w:t>68.70%</w:t>
            </w:r>
          </w:p>
        </w:tc>
        <w:tc>
          <w:tcPr>
            <w:tcW w:type="dxa" w:w="3120"/>
            <w:shd w:fill="F8FAFC"/>
          </w:tcPr>
          <w:p>
            <w:r>
              <w:rPr>
                <w:color w:val="212529"/>
                <w:sz w:val="17"/>
              </w:rPr>
              <w:t>Accurately captures developing mechanical and thermal failure modes</w:t>
            </w:r>
          </w:p>
        </w:tc>
      </w:tr>
      <w:tr>
        <w:tc>
          <w:tcPr>
            <w:tcW w:type="dxa" w:w="3120"/>
            <w:shd w:fill="FFFFFF"/>
          </w:tcPr>
          <w:p>
            <w:r>
              <w:rPr>
                <w:color w:val="212529"/>
                <w:sz w:val="17"/>
              </w:rPr>
              <w:t>F1-Score</w:t>
            </w:r>
          </w:p>
        </w:tc>
        <w:tc>
          <w:tcPr>
            <w:tcW w:type="dxa" w:w="3120"/>
            <w:shd w:fill="FFFFFF"/>
          </w:tcPr>
          <w:p>
            <w:r>
              <w:rPr>
                <w:b/>
                <w:color w:val="102C57"/>
                <w:sz w:val="17"/>
              </w:rPr>
              <w:t>0.7182</w:t>
            </w:r>
          </w:p>
        </w:tc>
        <w:tc>
          <w:tcPr>
            <w:tcW w:type="dxa" w:w="3120"/>
            <w:shd w:fill="FFFFFF"/>
          </w:tcPr>
          <w:p>
            <w:r>
              <w:rPr>
                <w:color w:val="212529"/>
                <w:sz w:val="17"/>
              </w:rPr>
              <w:t>Balanced harmonic mean between precision and operational recall</w:t>
            </w:r>
          </w:p>
        </w:tc>
      </w:tr>
      <w:tr>
        <w:tc>
          <w:tcPr>
            <w:tcW w:type="dxa" w:w="3120"/>
            <w:shd w:fill="F8FAFC"/>
          </w:tcPr>
          <w:p>
            <w:r>
              <w:rPr>
                <w:color w:val="212529"/>
                <w:sz w:val="17"/>
              </w:rPr>
              <w:t>ROC-AUC</w:t>
            </w:r>
          </w:p>
        </w:tc>
        <w:tc>
          <w:tcPr>
            <w:tcW w:type="dxa" w:w="3120"/>
            <w:shd w:fill="F8FAFC"/>
          </w:tcPr>
          <w:p>
            <w:r>
              <w:rPr>
                <w:b/>
                <w:color w:val="102C57"/>
                <w:sz w:val="17"/>
              </w:rPr>
              <w:t>0.8913</w:t>
            </w:r>
          </w:p>
        </w:tc>
        <w:tc>
          <w:tcPr>
            <w:tcW w:type="dxa" w:w="3120"/>
            <w:shd w:fill="F8FAFC"/>
          </w:tcPr>
          <w:p>
            <w:r>
              <w:rPr>
                <w:color w:val="212529"/>
                <w:sz w:val="17"/>
              </w:rPr>
              <w:t>High diagnostic discrimination power across decision thresholds</w:t>
            </w:r>
          </w:p>
        </w:tc>
      </w:tr>
    </w:tbl>
    <w:p>
      <w:pPr>
        <w:spacing w:after="120"/>
      </w:pPr>
    </w:p>
    <w:p>
      <w:r>
        <w:rPr>
          <w:b/>
        </w:rPr>
        <w:t>3.4 Feature Importance Ranking</w:t>
        <w:br/>
      </w:r>
      <w:r>
        <w:t>Analysis of Gini impurity reduction across all 120 decision trees reveals the dominant physical drivers of failure risk:</w:t>
        <w:br/>
        <w:t>1. Process Temperature: 28.58% — Primary indicator of friction and thermal dissipation breakdown.</w:t>
        <w:br/>
        <w:t>2. Tool Wear: 25.67% — Key determinant of cutting degradation and spindle load.</w:t>
        <w:br/>
        <w:t>3. Mechanical Torque: 13.91% — Reflects mechanical resistance and overstrain.</w:t>
        <w:br/>
        <w:t>4. Ambient Air Temperature: 13.48% — Influences heat exchange efficiency.</w:t>
        <w:br/>
        <w:t>5. Rotational Speed: 9.57% — Indicates slip, drag, or bearing flutter.</w:t>
        <w:br/>
        <w:t>6. Operating Load: 8.79% — Directly scales thermal and mechanical stress.</w:t>
      </w:r>
    </w:p>
    <w:p>
      <w:r>
        <w:br w:type="page"/>
      </w:r>
    </w:p>
    <w:p>
      <w:pPr>
        <w:pStyle w:val="Heading1"/>
      </w:pPr>
      <w:r>
        <w:rPr>
          <w:color w:val="102C57"/>
        </w:rPr>
        <w:t>CHAPTER 4: 3D DIGITAL TWIN &amp; SCADA DASHBOARD</w:t>
      </w:r>
    </w:p>
    <w:p>
      <w:pPr>
        <w:spacing w:line="288" w:lineRule="auto"/>
      </w:pPr>
      <w:r>
        <w:rPr>
          <w:b/>
        </w:rPr>
        <w:t>4.1 Interactive Three.js WebGL Factory Floor</w:t>
        <w:br/>
      </w:r>
      <w:r>
        <w:t>The digital twin is rendered in real time using Three.js and WebGL. The visual scene features dark industrial materials, lighting (ambient, hemisphere, and directional shadow-casting lights), and a 68x52 unit grid floor. Dynamic animations run at 60 FPS: CNC spindle rotation, motor shaft coupling spin, hydraulic ram vertical reciprocation, conveyor belt pallet transit, chiller exhaust fan rotation, and robotic arm articulation. An autonomous inspection AGV rover navigates along a continuous waypoint loop in the central aisle.</w:t>
      </w:r>
    </w:p>
    <w:p>
      <w:pPr>
        <w:spacing w:line="288" w:lineRule="auto"/>
      </w:pPr>
      <w:r>
        <w:rPr>
          <w:b/>
        </w:rPr>
        <w:t>4.2 Permanent Overhead DOM Labels (3D-to-2D Matrix Projection)</w:t>
        <w:br/>
      </w:r>
      <w:r>
        <w:t>A critical engineering requirement was ensuring all 6 machine names and IDs remain permanently visible simultaneously without requiring hover or click. Standard Three.js canvas text sprites suffer from distance attenuation and blurriness during zooming. EdgeGuard AI solves this by projecting the 3D world coordinates of each machine into 2D viewport coordinates on every frame:</w:t>
        <w:br/>
        <w:br/>
        <w:t xml:space="preserve">   vector.set(x, labelY, z); vector.project(camera);</w:t>
        <w:br/>
        <w:t xml:space="preserve">   screenX = (vector.x * 0.5 + 0.5) * windowWidth;</w:t>
        <w:br/>
        <w:t xml:space="preserve">   screenY = (-(vector.y * 0.5) + 0.5) * windowHeight;</w:t>
        <w:br/>
        <w:br/>
        <w:t>These coordinates position crisp, hardware-accelerated DOM HTML cards floating directly above each machine. Each label features the exact machine ID, name, and a live status indicator dot (🟢 Normal, 🟡 Warning, 🔴 Critical) that pulsates during alarms.</w:t>
      </w:r>
    </w:p>
    <w:p>
      <w:pPr>
        <w:spacing w:line="288" w:lineRule="auto"/>
      </w:pPr>
      <w:r>
        <w:rPr>
          <w:b/>
        </w:rPr>
        <w:t>4.3 Interactive Fault Injection Engine</w:t>
        <w:br/>
      </w:r>
      <w:r>
        <w:t>To evaluate real-time model response, the interface includes an interactive Fault Injection module supporting four industrial modes:</w:t>
        <w:br/>
        <w:t>1. Mechanical Overstrain (OSF): Surges torque to 78.5 Nm and load to 96%, triggering torque limit violations and high failure probability.</w:t>
        <w:br/>
        <w:t>2. Thermal Surge (HDF): Drives process temperature to 51.5°C and air temperature to 36.2°C, breaching thermal boundaries.</w:t>
        <w:br/>
        <w:t>3. Tool Wear Critical (TWF): Accelerates tool wear to 235 minutes, simulating cutting tool life expiration.</w:t>
        <w:br/>
        <w:t>4. Vibration &amp; Bearing Fault: Induces high-RPM flutter (2390 RPM) and vibration spikes (8.5 mm/s), indicating bearing race pitting.</w:t>
      </w:r>
    </w:p>
    <w:p>
      <w:r>
        <w:br w:type="page"/>
      </w:r>
    </w:p>
    <w:p>
      <w:pPr>
        <w:pStyle w:val="Heading1"/>
      </w:pPr>
      <w:r>
        <w:rPr>
          <w:color w:val="102C57"/>
        </w:rPr>
        <w:t>CHAPTER 5: EXPERIMENTAL RESULTS &amp; DEMONSTRATION OUTPUTS</w:t>
      </w:r>
    </w:p>
    <w:p>
      <w:pPr>
        <w:spacing w:line="288" w:lineRule="auto"/>
      </w:pPr>
      <w:r>
        <w:t>This chapter documents the verified visual outputs of the EdgeGuard AI operational platform. The application is accessible on http://localhost:8502 (or 8501). Follow the labeled placeholders below to paste your application screenshots directly into the report.</w:t>
      </w:r>
    </w:p>
    <w:p>
      <w:pPr>
        <w:spacing w:before="160" w:after="40"/>
      </w:pPr>
      <w:r>
        <w:rPr>
          <w:b/>
          <w:color w:val="102C57"/>
          <w:sz w:val="21"/>
        </w:rPr>
        <w:t>Figure 5.1: Interactive 3D Factory Floor Digital Twin Overview</w:t>
      </w:r>
    </w:p>
    <w:tbl>
      <w:tblPr>
        <w:tblW w:type="auto" w:w="0"/>
        <w:jc w:val="center"/>
        <w:tblLook w:firstColumn="1" w:firstRow="1" w:lastColumn="0" w:lastRow="0" w:noHBand="0" w:noVBand="1" w:val="04A0"/>
      </w:tblPr>
      <w:tblGrid>
        <w:gridCol w:w="9360"/>
      </w:tblGrid>
      <w:tr>
        <w:tc>
          <w:tcPr>
            <w:tcW w:type="dxa" w:w="9360"/>
            <w:shd w:fill="F8FAFC"/>
            <w:tcBorders>
              <w:top w:val="dashed" w:sz="8" w:space="0" w:color="00A8CC"/>
              <w:bottom w:val="dashed" w:sz="8" w:space="0" w:color="00A8CC"/>
              <w:left w:val="dashed" w:sz="8" w:space="0" w:color="00A8CC"/>
              <w:right w:val="dashed" w:sz="8" w:space="0" w:color="00A8CC"/>
            </w:tcBorders>
          </w:tcPr>
          <w:p>
            <w:pPr>
              <w:spacing w:before="480" w:after="120"/>
              <w:jc w:val="center"/>
            </w:pPr>
            <w:r>
              <w:rPr>
                <w:b/>
                <w:color w:val="00A8CC"/>
                <w:sz w:val="22"/>
              </w:rPr>
              <w:t>📷 [INSERT OUTPUT SCREENSHOT HERE]</w:t>
            </w:r>
          </w:p>
          <w:p>
            <w:pPr>
              <w:spacing w:before="0" w:after="480"/>
              <w:jc w:val="center"/>
            </w:pPr>
            <w:r>
              <w:rPr>
                <w:i/>
                <w:color w:val="6C757D"/>
                <w:sz w:val="19"/>
              </w:rPr>
              <w:t>Open http://localhost:8502. Capture the full 3D factory floor showing all 6 machines (M-01 to M-06) with their permanently visible overhead DOM labels, green status dots, and the patrolling inspection AGV robot.</w:t>
            </w:r>
          </w:p>
        </w:tc>
      </w:tr>
    </w:tbl>
    <w:p>
      <w:pPr>
        <w:spacing w:after="160"/>
      </w:pPr>
    </w:p>
    <w:p>
      <w:pPr>
        <w:spacing w:before="160" w:after="40"/>
      </w:pPr>
      <w:r>
        <w:rPr>
          <w:b/>
          <w:color w:val="102C57"/>
          <w:sz w:val="21"/>
        </w:rPr>
        <w:t>Figure 5.2: Selected Machine Details Panel (M-03 Hydraulic Press — Nominal Health)</w:t>
      </w:r>
    </w:p>
    <w:tbl>
      <w:tblPr>
        <w:tblW w:type="auto" w:w="0"/>
        <w:jc w:val="center"/>
        <w:tblLook w:firstColumn="1" w:firstRow="1" w:lastColumn="0" w:lastRow="0" w:noHBand="0" w:noVBand="1" w:val="04A0"/>
      </w:tblPr>
      <w:tblGrid>
        <w:gridCol w:w="9360"/>
      </w:tblGrid>
      <w:tr>
        <w:tc>
          <w:tcPr>
            <w:tcW w:type="dxa" w:w="9360"/>
            <w:shd w:fill="F8FAFC"/>
            <w:tcBorders>
              <w:top w:val="dashed" w:sz="8" w:space="0" w:color="00A8CC"/>
              <w:bottom w:val="dashed" w:sz="8" w:space="0" w:color="00A8CC"/>
              <w:left w:val="dashed" w:sz="8" w:space="0" w:color="00A8CC"/>
              <w:right w:val="dashed" w:sz="8" w:space="0" w:color="00A8CC"/>
            </w:tcBorders>
          </w:tcPr>
          <w:p>
            <w:pPr>
              <w:spacing w:before="480" w:after="120"/>
              <w:jc w:val="center"/>
            </w:pPr>
            <w:r>
              <w:rPr>
                <w:b/>
                <w:color w:val="00A8CC"/>
                <w:sz w:val="22"/>
              </w:rPr>
              <w:t>📷 [INSERT OUTPUT SCREENSHOT HERE]</w:t>
            </w:r>
          </w:p>
          <w:p>
            <w:pPr>
              <w:spacing w:before="0" w:after="480"/>
              <w:jc w:val="center"/>
            </w:pPr>
            <w:r>
              <w:rPr>
                <w:i/>
                <w:color w:val="6C757D"/>
                <w:sz w:val="19"/>
              </w:rPr>
              <w:t>Click machine M-03 in the 3D scene or select 'M-03' from the quick-select pill bar. Capture the right panel showing the Machine ID, '✓ NOMINAL HEALTH STATUS' badge, Calibrated Risk Score Gauge (e.g. 4.4%), and the 6 sensor telemetry cards with physical units.</w:t>
            </w:r>
          </w:p>
        </w:tc>
      </w:tr>
    </w:tbl>
    <w:p>
      <w:pPr>
        <w:spacing w:after="160"/>
      </w:pPr>
    </w:p>
    <w:p>
      <w:pPr>
        <w:spacing w:before="160" w:after="40"/>
      </w:pPr>
      <w:r>
        <w:rPr>
          <w:b/>
          <w:color w:val="102C57"/>
          <w:sz w:val="21"/>
        </w:rPr>
        <w:t>Figure 5.3: Fault Injection Demonstration (Mechanical Overstrain on M-03)</w:t>
      </w:r>
    </w:p>
    <w:tbl>
      <w:tblPr>
        <w:tblW w:type="auto" w:w="0"/>
        <w:jc w:val="center"/>
        <w:tblLook w:firstColumn="1" w:firstRow="1" w:lastColumn="0" w:lastRow="0" w:noHBand="0" w:noVBand="1" w:val="04A0"/>
      </w:tblPr>
      <w:tblGrid>
        <w:gridCol w:w="9360"/>
      </w:tblGrid>
      <w:tr>
        <w:tc>
          <w:tcPr>
            <w:tcW w:type="dxa" w:w="9360"/>
            <w:shd w:fill="F8FAFC"/>
            <w:tcBorders>
              <w:top w:val="dashed" w:sz="8" w:space="0" w:color="00A8CC"/>
              <w:bottom w:val="dashed" w:sz="8" w:space="0" w:color="00A8CC"/>
              <w:left w:val="dashed" w:sz="8" w:space="0" w:color="00A8CC"/>
              <w:right w:val="dashed" w:sz="8" w:space="0" w:color="00A8CC"/>
            </w:tcBorders>
          </w:tcPr>
          <w:p>
            <w:pPr>
              <w:spacing w:before="480" w:after="120"/>
              <w:jc w:val="center"/>
            </w:pPr>
            <w:r>
              <w:rPr>
                <w:b/>
                <w:color w:val="00A8CC"/>
                <w:sz w:val="22"/>
              </w:rPr>
              <w:t>📷 [INSERT OUTPUT SCREENSHOT HERE]</w:t>
            </w:r>
          </w:p>
          <w:p>
            <w:pPr>
              <w:spacing w:before="0" w:after="480"/>
              <w:jc w:val="center"/>
            </w:pPr>
            <w:r>
              <w:rPr>
                <w:i/>
                <w:color w:val="6C757D"/>
                <w:sz w:val="19"/>
              </w:rPr>
              <w:t>Select 'Mechanical Overstrain (OSF)' in the fault dropdown and click '⚠️ Inject Fault'. Capture the screen showing the red '🚨 CRITICAL FAILURE RISK' badge, the safety limit breach callout ('Torque &gt; 68.0 Nm'), the risk score surging to 65%+, and M-03's 3D label/beacon turning red.</w:t>
            </w:r>
          </w:p>
        </w:tc>
      </w:tr>
    </w:tbl>
    <w:p>
      <w:pPr>
        <w:spacing w:after="160"/>
      </w:pPr>
    </w:p>
    <w:p>
      <w:pPr>
        <w:spacing w:before="160" w:after="40"/>
      </w:pPr>
      <w:r>
        <w:rPr>
          <w:b/>
          <w:color w:val="102C57"/>
          <w:sz w:val="21"/>
        </w:rPr>
        <w:t>Figure 5.4: Real-Time Multi-Axis Telemetry Trends Chart</w:t>
      </w:r>
    </w:p>
    <w:tbl>
      <w:tblPr>
        <w:tblW w:type="auto" w:w="0"/>
        <w:jc w:val="center"/>
        <w:tblLook w:firstColumn="1" w:firstRow="1" w:lastColumn="0" w:lastRow="0" w:noHBand="0" w:noVBand="1" w:val="04A0"/>
      </w:tblPr>
      <w:tblGrid>
        <w:gridCol w:w="9360"/>
      </w:tblGrid>
      <w:tr>
        <w:tc>
          <w:tcPr>
            <w:tcW w:type="dxa" w:w="9360"/>
            <w:shd w:fill="F8FAFC"/>
            <w:tcBorders>
              <w:top w:val="dashed" w:sz="8" w:space="0" w:color="00A8CC"/>
              <w:bottom w:val="dashed" w:sz="8" w:space="0" w:color="00A8CC"/>
              <w:left w:val="dashed" w:sz="8" w:space="0" w:color="00A8CC"/>
              <w:right w:val="dashed" w:sz="8" w:space="0" w:color="00A8CC"/>
            </w:tcBorders>
          </w:tcPr>
          <w:p>
            <w:pPr>
              <w:spacing w:before="480" w:after="120"/>
              <w:jc w:val="center"/>
            </w:pPr>
            <w:r>
              <w:rPr>
                <w:b/>
                <w:color w:val="00A8CC"/>
                <w:sz w:val="22"/>
              </w:rPr>
              <w:t>📷 [INSERT OUTPUT SCREENSHOT HERE]</w:t>
            </w:r>
          </w:p>
          <w:p>
            <w:pPr>
              <w:spacing w:before="0" w:after="480"/>
              <w:jc w:val="center"/>
            </w:pPr>
            <w:r>
              <w:rPr>
                <w:i/>
                <w:color w:val="6C757D"/>
                <w:sz w:val="19"/>
              </w:rPr>
              <w:t>Scroll to the bottom analytics section. Capture the interactive Plotly multi-axis time-series chart showing Process Temperature (red), Vibration (cyan), and Mechanical Torque (amber) tracking historical events.</w:t>
            </w:r>
          </w:p>
        </w:tc>
      </w:tr>
    </w:tbl>
    <w:p>
      <w:pPr>
        <w:spacing w:after="160"/>
      </w:pPr>
    </w:p>
    <w:p>
      <w:pPr>
        <w:spacing w:before="160" w:after="40"/>
      </w:pPr>
      <w:r>
        <w:rPr>
          <w:b/>
          <w:color w:val="102C57"/>
          <w:sz w:val="21"/>
        </w:rPr>
        <w:t>Figure 5.5: Fleet Health Distribution &amp; Real Model Benchmark Metrics</w:t>
      </w:r>
    </w:p>
    <w:tbl>
      <w:tblPr>
        <w:tblW w:type="auto" w:w="0"/>
        <w:jc w:val="center"/>
        <w:tblLook w:firstColumn="1" w:firstRow="1" w:lastColumn="0" w:lastRow="0" w:noHBand="0" w:noVBand="1" w:val="04A0"/>
      </w:tblPr>
      <w:tblGrid>
        <w:gridCol w:w="9360"/>
      </w:tblGrid>
      <w:tr>
        <w:tc>
          <w:tcPr>
            <w:tcW w:type="dxa" w:w="9360"/>
            <w:shd w:fill="F8FAFC"/>
            <w:tcBorders>
              <w:top w:val="dashed" w:sz="8" w:space="0" w:color="00A8CC"/>
              <w:bottom w:val="dashed" w:sz="8" w:space="0" w:color="00A8CC"/>
              <w:left w:val="dashed" w:sz="8" w:space="0" w:color="00A8CC"/>
              <w:right w:val="dashed" w:sz="8" w:space="0" w:color="00A8CC"/>
            </w:tcBorders>
          </w:tcPr>
          <w:p>
            <w:pPr>
              <w:spacing w:before="480" w:after="120"/>
              <w:jc w:val="center"/>
            </w:pPr>
            <w:r>
              <w:rPr>
                <w:b/>
                <w:color w:val="00A8CC"/>
                <w:sz w:val="22"/>
              </w:rPr>
              <w:t>📷 [INSERT OUTPUT SCREENSHOT HERE]</w:t>
            </w:r>
          </w:p>
          <w:p>
            <w:pPr>
              <w:spacing w:before="0" w:after="480"/>
              <w:jc w:val="center"/>
            </w:pPr>
            <w:r>
              <w:rPr>
                <w:i/>
                <w:color w:val="6C757D"/>
                <w:sz w:val="19"/>
              </w:rPr>
              <w:t>Capture the Fleet Health Donut Chart alongside the authentic 'Real ML Model Evaluation Benchmark' table showing Accuracy (87.60%), Precision (75.24%), Recall (68.70%), F1-Score (0.7182), and ROC-AUC (0.8913).</w:t>
            </w:r>
          </w:p>
        </w:tc>
      </w:tr>
    </w:tbl>
    <w:p>
      <w:pPr>
        <w:spacing w:after="160"/>
      </w:pPr>
    </w:p>
    <w:p>
      <w:pPr>
        <w:spacing w:before="160" w:after="40"/>
      </w:pPr>
      <w:r>
        <w:rPr>
          <w:b/>
          <w:color w:val="102C57"/>
          <w:sz w:val="21"/>
        </w:rPr>
        <w:t>Figure 5.6: Recent Telemetry Event Log Table &amp; CSV Data Export</w:t>
      </w:r>
    </w:p>
    <w:tbl>
      <w:tblPr>
        <w:tblW w:type="auto" w:w="0"/>
        <w:jc w:val="center"/>
        <w:tblLook w:firstColumn="1" w:firstRow="1" w:lastColumn="0" w:lastRow="0" w:noHBand="0" w:noVBand="1" w:val="04A0"/>
      </w:tblPr>
      <w:tblGrid>
        <w:gridCol w:w="9360"/>
      </w:tblGrid>
      <w:tr>
        <w:tc>
          <w:tcPr>
            <w:tcW w:type="dxa" w:w="9360"/>
            <w:shd w:fill="F8FAFC"/>
            <w:tcBorders>
              <w:top w:val="dashed" w:sz="8" w:space="0" w:color="00A8CC"/>
              <w:bottom w:val="dashed" w:sz="8" w:space="0" w:color="00A8CC"/>
              <w:left w:val="dashed" w:sz="8" w:space="0" w:color="00A8CC"/>
              <w:right w:val="dashed" w:sz="8" w:space="0" w:color="00A8CC"/>
            </w:tcBorders>
          </w:tcPr>
          <w:p>
            <w:pPr>
              <w:spacing w:before="480" w:after="120"/>
              <w:jc w:val="center"/>
            </w:pPr>
            <w:r>
              <w:rPr>
                <w:b/>
                <w:color w:val="00A8CC"/>
                <w:sz w:val="22"/>
              </w:rPr>
              <w:t>📷 [INSERT OUTPUT SCREENSHOT HERE]</w:t>
            </w:r>
          </w:p>
          <w:p>
            <w:pPr>
              <w:spacing w:before="0" w:after="480"/>
              <w:jc w:val="center"/>
            </w:pPr>
            <w:r>
              <w:rPr>
                <w:i/>
                <w:color w:val="6C757D"/>
                <w:sz w:val="19"/>
              </w:rPr>
              <w:t>Capture the Recent Fleet Telemetry &amp; Prediction Event Log table and the '📥 Download Telemetry Log (CSV)' button demonstrating automated data export capability.</w:t>
            </w:r>
          </w:p>
        </w:tc>
      </w:tr>
    </w:tbl>
    <w:p>
      <w:pPr>
        <w:spacing w:after="160"/>
      </w:pPr>
    </w:p>
    <w:p>
      <w:pPr>
        <w:spacing w:before="160" w:after="40"/>
      </w:pPr>
      <w:r>
        <w:rPr>
          <w:b/>
          <w:color w:val="102C57"/>
          <w:sz w:val="21"/>
        </w:rPr>
        <w:t>Figure 5.7: EdgeGuard AI Published GitHub Repository (https://github.com/shrushti96-dot/EdgeGuard-AI)</w:t>
      </w:r>
    </w:p>
    <w:tbl>
      <w:tblPr>
        <w:tblW w:type="auto" w:w="0"/>
        <w:jc w:val="center"/>
        <w:tblLook w:firstColumn="1" w:firstRow="1" w:lastColumn="0" w:lastRow="0" w:noHBand="0" w:noVBand="1" w:val="04A0"/>
      </w:tblPr>
      <w:tblGrid>
        <w:gridCol w:w="9360"/>
      </w:tblGrid>
      <w:tr>
        <w:tc>
          <w:tcPr>
            <w:tcW w:type="dxa" w:w="9360"/>
            <w:shd w:fill="F8FAFC"/>
            <w:tcBorders>
              <w:top w:val="dashed" w:sz="8" w:space="0" w:color="00A8CC"/>
              <w:bottom w:val="dashed" w:sz="8" w:space="0" w:color="00A8CC"/>
              <w:left w:val="dashed" w:sz="8" w:space="0" w:color="00A8CC"/>
              <w:right w:val="dashed" w:sz="8" w:space="0" w:color="00A8CC"/>
            </w:tcBorders>
          </w:tcPr>
          <w:p>
            <w:pPr>
              <w:spacing w:before="480" w:after="120"/>
              <w:jc w:val="center"/>
            </w:pPr>
            <w:r>
              <w:rPr>
                <w:b/>
                <w:color w:val="00A8CC"/>
                <w:sz w:val="22"/>
              </w:rPr>
              <w:t>📷 [INSERT OUTPUT SCREENSHOT HERE]</w:t>
            </w:r>
          </w:p>
          <w:p>
            <w:pPr>
              <w:spacing w:before="0" w:after="480"/>
              <w:jc w:val="center"/>
            </w:pPr>
            <w:r>
              <w:rPr>
                <w:i/>
                <w:color w:val="6C757D"/>
                <w:sz w:val="19"/>
              </w:rPr>
              <w:t>Capture the official GitHub repository page showing the project repository name, badges, and the 5-stage System Architecture Mermaid diagram rendering cleanly.</w:t>
            </w:r>
          </w:p>
        </w:tc>
      </w:tr>
    </w:tbl>
    <w:p>
      <w:pPr>
        <w:spacing w:after="160"/>
      </w:pPr>
    </w:p>
    <w:p>
      <w:r>
        <w:br w:type="page"/>
      </w:r>
    </w:p>
    <w:p>
      <w:pPr>
        <w:pStyle w:val="Heading1"/>
      </w:pPr>
      <w:r>
        <w:rPr>
          <w:color w:val="102C57"/>
        </w:rPr>
        <w:t>CHAPTER 6: AZURE ML &amp; IOT EDGE TOPOLOGY</w:t>
      </w:r>
    </w:p>
    <w:p>
      <w:pPr>
        <w:spacing w:line="288" w:lineRule="auto"/>
      </w:pPr>
      <w:r>
        <w:t>EdgeGuard AI is engineered for production cloud staging while maintaining 100% on-premises autonomy:</w:t>
        <w:br/>
        <w:br/>
        <w:t>• Azure ML SDK v2 Model Registry: The utility script azure_ml_register.py connects to Azure Machine Learning workspaces using DefaultAzureCredential or Service Principal tokens. When authenticated, it stages the Random Forest model as a versioned cloud asset ('edgeguard-rf-machine-health') tagged with training hyperparameters.</w:t>
        <w:br/>
        <w:br/>
        <w:t>• Zero-Crash Local Fallback: If cloud credentials (AZURE_SUBSCRIPTION_ID, AZURE_RESOURCE_GROUP) are unconfigured, AzureMLManager automatically shifts into LOCAL_SIMULATION_MODE without throwing unhandled exceptions or disrupting local inference.</w:t>
        <w:br/>
        <w:br/>
        <w:t>• Azure IoT Edge Containerization: The project includes a production Dockerfile (deployment/Dockerfile.amd64) and an edge deployment manifest (deployment/deployment.template.json). This allows the inference runtime and trained model to be built as a lightweight Docker container deployed to industrial edge gateways (e.g. Advantech, Siemens IPC) via Azure IoT Edge Hub.</w:t>
      </w:r>
    </w:p>
    <w:p>
      <w:pPr>
        <w:pStyle w:val="Heading1"/>
      </w:pPr>
      <w:r>
        <w:rPr>
          <w:color w:val="102C57"/>
        </w:rPr>
        <w:t>CHAPTER 7: CONCLUSION &amp; FUTURE SCOPE</w:t>
      </w:r>
    </w:p>
    <w:p>
      <w:pPr>
        <w:spacing w:line="288" w:lineRule="auto"/>
      </w:pPr>
      <w:r>
        <w:rPr>
          <w:b/>
        </w:rPr>
        <w:t>7.1 Summary of Achievements</w:t>
        <w:br/>
      </w:r>
      <w:r>
        <w:t>EdgeGuard AI successfully demonstrates an end-to-end cyber-physical digital twin and edge predictive maintenance solution. The project meets all industrial and academic evaluation objectives:</w:t>
        <w:br/>
        <w:t>• Built an interactive Three.js 3D industrial factory with 6 distinct machine kinematic animations and an autonomous AGV patrol rover.</w:t>
        <w:br/>
        <w:t>• Solved the label occlusion challenge by permanently pinning 3D-projected DOM badges above all 6 machines simultaneously.</w:t>
        <w:br/>
        <w:t>• Implemented authentic sub-millisecond edge machine learning achieving 87.60% test accuracy and 0.8913 ROC-AUC.</w:t>
        <w:br/>
        <w:t>• Integrated dual-layer diagnostics combining probabilistic Random Forest scoring with deterministic physical safety rules.</w:t>
        <w:br/>
        <w:t>• Published an evaluation-ready open-source codebase to GitHub (https://github.com/shrushti96-dot/EdgeGuard-AI).</w:t>
        <w:br/>
        <w:br/>
      </w:r>
    </w:p>
    <w:p>
      <w:pPr>
        <w:spacing w:line="288" w:lineRule="auto"/>
      </w:pPr>
      <w:r>
        <w:rPr>
          <w:b/>
        </w:rPr>
        <w:t>7.2 Future Enhancements</w:t>
        <w:br/>
      </w:r>
      <w:r>
        <w:t>1. Real-World Modbus/OPC-UA Ingestion: Connect physical industrial sensors via industrial protocols directly into the edge ingestion queue.</w:t>
        <w:br/>
        <w:t>2. Remaining Useful Life (RUL) Regression: Complement binary failure classification with continuous Remaining Useful Life estimation using LSTM or Temporal Convolutional Networks (TCN).</w:t>
        <w:br/>
        <w:t>3. Augmented Reality (AR) Operator Headsets: Stream the 3D digital twin overlays directly to Microsoft HoloLens for hands-free field technician guidance.</w:t>
      </w:r>
    </w:p>
    <w:p>
      <w:pPr>
        <w:pStyle w:val="Heading1"/>
      </w:pPr>
      <w:r>
        <w:rPr>
          <w:color w:val="102C57"/>
        </w:rPr>
        <w:t>REFERENCES</w:t>
      </w:r>
    </w:p>
    <w:p>
      <w:pPr>
        <w:spacing w:line="276" w:lineRule="auto"/>
      </w:pPr>
      <w:r>
        <w:t>[1] ISO 13374-1: Condition Monitoring and Diagnostics of Machines — Data Processing, Communication and Presentation.</w:t>
        <w:br/>
        <w:t>[2] Mobley, R. K., "An Introduction to Predictive Maintenance," Butterworth-Heinemann, 2nd Edition.</w:t>
        <w:br/>
        <w:t>[3] Pedregosa, F. et al., "Scikit-learn: Machine Learning in Python," Journal of Machine Learning Research, Vol. 12, pp. 2825-2830.</w:t>
        <w:br/>
        <w:t>[4] Microsoft Corporation, "Azure Machine Learning Documentation — Model Registry &amp; SDK v2," https://learn.microsoft.com/azure/machine-learning/</w:t>
        <w:br/>
        <w:t>[5] Microsoft Corporation, "Azure IoT Edge Architecture &amp; Module Development," https://learn.microsoft.com/azure/iot-edge/</w:t>
        <w:br/>
        <w:t>[6] Cabello, R. et al., "Three.js — JavaScript 3D Library," https://threejs.org/</w:t>
        <w:br/>
        <w:t>[7] EdgeGuard AI Project Repository, https://github.com/shrushti96-dot/EdgeGuard-AI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 xml:space="preserve">EdgeGuard AI | Academic Project Report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