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BUSINESS REQUIREMENTS DOCUMENT</w:t>
      </w:r>
    </w:p>
    <w:p>
      <w:pPr>
        <w:spacing w:after="200" w:before="200"/>
        <w:jc w:val="center"/>
      </w:pPr>
      <w:r>
        <w:rPr>
          <w:b/>
          <w:bCs/>
          <w:color w:val="2E74B5"/>
          <w:sz w:val="30"/>
          <w:szCs w:val="30"/>
        </w:rPr>
        <w:t xml:space="preserve">Human Resource Management System (HRMS)</w:t>
      </w:r>
    </w:p>
    <w:p>
      <w:pPr>
        <w:spacing w:after="800"/>
        <w:jc w:val="center"/>
      </w:pPr>
      <w:r>
        <w:rPr>
          <w:color w:val="595959"/>
          <w:sz w:val="21"/>
          <w:szCs w:val="21"/>
        </w:rPr>
        <w:t xml:space="preserve">Enterprise-wide Implementation | Version 1.0 | 01 July 2026</w:t>
      </w:r>
    </w:p>
    <w:p>
      <w:pPr>
        <w:spacing w:after="200" w:before="400"/>
      </w:pPr>
      <w:r>
        <w:rPr>
          <w:b/>
          <w:bCs/>
          <w:color w:val="1F3864"/>
          <w:sz w:val="24"/>
          <w:szCs w:val="24"/>
        </w:rPr>
        <w:t xml:space="preserve">Document Control</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40"/>
      </w:tblGrid>
      <w:tr>
        <w:tc>
          <w:tcPr>
            <w:tcW w:type="dxa" w:w="2400"/>
            <w:shd w:fill="DCE6F1" w:val="clear"/>
            <w:tcMar>
              <w:top w:type="dxa" w:w="80"/>
              <w:left w:type="dxa" w:w="100"/>
              <w:bottom w:type="dxa" w:w="80"/>
              <w:right w:type="dxa" w:w="100"/>
            </w:tcMar>
            <w:vAlign w:val="center"/>
          </w:tcPr>
          <w:p>
            <w:r>
              <w:rPr>
                <w:b/>
                <w:bCs/>
                <w:color w:val="262626"/>
                <w:sz w:val="19"/>
                <w:szCs w:val="19"/>
              </w:rPr>
              <w:t xml:space="preserve">Document Title</w:t>
            </w:r>
          </w:p>
        </w:tc>
        <w:tc>
          <w:tcPr>
            <w:tcW w:type="dxa" w:w="7040"/>
            <w:tcMar>
              <w:top w:type="dxa" w:w="80"/>
              <w:left w:type="dxa" w:w="100"/>
              <w:bottom w:type="dxa" w:w="80"/>
              <w:right w:type="dxa" w:w="100"/>
            </w:tcMar>
            <w:vAlign w:val="center"/>
          </w:tcPr>
          <w:p>
            <w:r>
              <w:rPr>
                <w:b w:val="false"/>
                <w:bCs w:val="false"/>
                <w:color w:val="262626"/>
                <w:sz w:val="19"/>
                <w:szCs w:val="19"/>
              </w:rPr>
              <w:t xml:space="preserve">Business Requirements Document – HR Management System (HRMS)</w:t>
            </w:r>
          </w:p>
        </w:tc>
      </w:tr>
      <w:tr>
        <w:tc>
          <w:tcPr>
            <w:tcW w:type="dxa" w:w="2400"/>
            <w:shd w:fill="DCE6F1" w:val="clear"/>
            <w:tcMar>
              <w:top w:type="dxa" w:w="80"/>
              <w:left w:type="dxa" w:w="100"/>
              <w:bottom w:type="dxa" w:w="80"/>
              <w:right w:type="dxa" w:w="100"/>
            </w:tcMar>
            <w:vAlign w:val="center"/>
          </w:tcPr>
          <w:p>
            <w:r>
              <w:rPr>
                <w:b/>
                <w:bCs/>
                <w:color w:val="262626"/>
                <w:sz w:val="19"/>
                <w:szCs w:val="19"/>
              </w:rPr>
              <w:t xml:space="preserve">Version</w:t>
            </w:r>
          </w:p>
        </w:tc>
        <w:tc>
          <w:tcPr>
            <w:tcW w:type="dxa" w:w="7040"/>
            <w:tcMar>
              <w:top w:type="dxa" w:w="80"/>
              <w:left w:type="dxa" w:w="100"/>
              <w:bottom w:type="dxa" w:w="80"/>
              <w:right w:type="dxa" w:w="100"/>
            </w:tcMar>
            <w:vAlign w:val="center"/>
          </w:tcPr>
          <w:p>
            <w:r>
              <w:rPr>
                <w:b w:val="false"/>
                <w:bCs w:val="false"/>
                <w:color w:val="262626"/>
                <w:sz w:val="19"/>
                <w:szCs w:val="19"/>
              </w:rPr>
              <w:t xml:space="preserve">1.0</w:t>
            </w:r>
          </w:p>
        </w:tc>
      </w:tr>
      <w:tr>
        <w:tc>
          <w:tcPr>
            <w:tcW w:type="dxa" w:w="2400"/>
            <w:shd w:fill="DCE6F1" w:val="clear"/>
            <w:tcMar>
              <w:top w:type="dxa" w:w="80"/>
              <w:left w:type="dxa" w:w="100"/>
              <w:bottom w:type="dxa" w:w="80"/>
              <w:right w:type="dxa" w:w="100"/>
            </w:tcMar>
            <w:vAlign w:val="center"/>
          </w:tcPr>
          <w:p>
            <w:r>
              <w:rPr>
                <w:b/>
                <w:bCs/>
                <w:color w:val="262626"/>
                <w:sz w:val="19"/>
                <w:szCs w:val="19"/>
              </w:rPr>
              <w:t xml:space="preserve">Status</w:t>
            </w:r>
          </w:p>
        </w:tc>
        <w:tc>
          <w:tcPr>
            <w:tcW w:type="dxa" w:w="7040"/>
            <w:tcMar>
              <w:top w:type="dxa" w:w="80"/>
              <w:left w:type="dxa" w:w="100"/>
              <w:bottom w:type="dxa" w:w="80"/>
              <w:right w:type="dxa" w:w="100"/>
            </w:tcMar>
            <w:vAlign w:val="center"/>
          </w:tcPr>
          <w:p>
            <w:r>
              <w:rPr>
                <w:b w:val="false"/>
                <w:bCs w:val="false"/>
                <w:color w:val="262626"/>
                <w:sz w:val="19"/>
                <w:szCs w:val="19"/>
              </w:rPr>
              <w:t xml:space="preserve">Draft for Review</w:t>
            </w:r>
          </w:p>
        </w:tc>
      </w:tr>
      <w:tr>
        <w:tc>
          <w:tcPr>
            <w:tcW w:type="dxa" w:w="2400"/>
            <w:shd w:fill="DCE6F1" w:val="clear"/>
            <w:tcMar>
              <w:top w:type="dxa" w:w="80"/>
              <w:left w:type="dxa" w:w="100"/>
              <w:bottom w:type="dxa" w:w="80"/>
              <w:right w:type="dxa" w:w="100"/>
            </w:tcMar>
            <w:vAlign w:val="center"/>
          </w:tcPr>
          <w:p>
            <w:r>
              <w:rPr>
                <w:b/>
                <w:bCs/>
                <w:color w:val="262626"/>
                <w:sz w:val="19"/>
                <w:szCs w:val="19"/>
              </w:rPr>
              <w:t xml:space="preserve">Prepared By</w:t>
            </w:r>
          </w:p>
        </w:tc>
        <w:tc>
          <w:tcPr>
            <w:tcW w:type="dxa" w:w="7040"/>
            <w:tcMar>
              <w:top w:type="dxa" w:w="80"/>
              <w:left w:type="dxa" w:w="100"/>
              <w:bottom w:type="dxa" w:w="80"/>
              <w:right w:type="dxa" w:w="100"/>
            </w:tcMar>
            <w:vAlign w:val="center"/>
          </w:tcPr>
          <w:p>
            <w:r>
              <w:rPr>
                <w:b w:val="false"/>
                <w:bCs w:val="false"/>
                <w:color w:val="262626"/>
                <w:sz w:val="19"/>
                <w:szCs w:val="19"/>
              </w:rPr>
              <w:t xml:space="preserve">Business Analyst</w:t>
            </w:r>
          </w:p>
        </w:tc>
      </w:tr>
      <w:tr>
        <w:tc>
          <w:tcPr>
            <w:tcW w:type="dxa" w:w="2400"/>
            <w:shd w:fill="DCE6F1" w:val="clear"/>
            <w:tcMar>
              <w:top w:type="dxa" w:w="80"/>
              <w:left w:type="dxa" w:w="100"/>
              <w:bottom w:type="dxa" w:w="80"/>
              <w:right w:type="dxa" w:w="100"/>
            </w:tcMar>
            <w:vAlign w:val="center"/>
          </w:tcPr>
          <w:p>
            <w:r>
              <w:rPr>
                <w:b/>
                <w:bCs/>
                <w:color w:val="262626"/>
                <w:sz w:val="19"/>
                <w:szCs w:val="19"/>
              </w:rPr>
              <w:t xml:space="preserve">Date</w:t>
            </w:r>
          </w:p>
        </w:tc>
        <w:tc>
          <w:tcPr>
            <w:tcW w:type="dxa" w:w="7040"/>
            <w:tcMar>
              <w:top w:type="dxa" w:w="80"/>
              <w:left w:type="dxa" w:w="100"/>
              <w:bottom w:type="dxa" w:w="80"/>
              <w:right w:type="dxa" w:w="100"/>
            </w:tcMar>
            <w:vAlign w:val="center"/>
          </w:tcPr>
          <w:p>
            <w:r>
              <w:rPr>
                <w:b w:val="false"/>
                <w:bCs w:val="false"/>
                <w:color w:val="262626"/>
                <w:sz w:val="19"/>
                <w:szCs w:val="19"/>
              </w:rPr>
              <w:t xml:space="preserve">01 July 2026</w:t>
            </w:r>
          </w:p>
        </w:tc>
      </w:tr>
      <w:tr>
        <w:tc>
          <w:tcPr>
            <w:tcW w:type="dxa" w:w="2400"/>
            <w:shd w:fill="DCE6F1" w:val="clear"/>
            <w:tcMar>
              <w:top w:type="dxa" w:w="80"/>
              <w:left w:type="dxa" w:w="100"/>
              <w:bottom w:type="dxa" w:w="80"/>
              <w:right w:type="dxa" w:w="100"/>
            </w:tcMar>
            <w:vAlign w:val="center"/>
          </w:tcPr>
          <w:p>
            <w:r>
              <w:rPr>
                <w:b/>
                <w:bCs/>
                <w:color w:val="262626"/>
                <w:sz w:val="19"/>
                <w:szCs w:val="19"/>
              </w:rPr>
              <w:t xml:space="preserve">Classification</w:t>
            </w:r>
          </w:p>
        </w:tc>
        <w:tc>
          <w:tcPr>
            <w:tcW w:type="dxa" w:w="7040"/>
            <w:tcMar>
              <w:top w:type="dxa" w:w="80"/>
              <w:left w:type="dxa" w:w="100"/>
              <w:bottom w:type="dxa" w:w="80"/>
              <w:right w:type="dxa" w:w="100"/>
            </w:tcMar>
            <w:vAlign w:val="center"/>
          </w:tcPr>
          <w:p>
            <w:r>
              <w:rPr>
                <w:b w:val="false"/>
                <w:bCs w:val="false"/>
                <w:color w:val="262626"/>
                <w:sz w:val="19"/>
                <w:szCs w:val="19"/>
              </w:rPr>
              <w:t xml:space="preserve">Internal / Confidential</w:t>
            </w:r>
          </w:p>
        </w:tc>
      </w:tr>
    </w:tbl>
    <w:p>
      <w:pPr>
        <w:spacing w:after="200" w:before="400"/>
      </w:pPr>
      <w:r>
        <w:rPr>
          <w:b/>
          <w:bCs/>
          <w:color w:val="1F3864"/>
          <w:sz w:val="24"/>
          <w:szCs w:val="24"/>
        </w:rPr>
        <w:t xml:space="preserve">Version History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400"/>
        <w:gridCol w:w="3940"/>
      </w:tblGrid>
      <w:tr>
        <w:tc>
          <w:tcPr>
            <w:tcW w:type="dxa" w:w="1400"/>
            <w:shd w:fill="1F3864" w:val="clear"/>
            <w:tcMar>
              <w:top w:type="dxa" w:w="80"/>
              <w:left w:type="dxa" w:w="100"/>
              <w:bottom w:type="dxa" w:w="80"/>
              <w:right w:type="dxa" w:w="100"/>
            </w:tcMar>
            <w:vAlign w:val="center"/>
          </w:tcPr>
          <w:p>
            <w:r>
              <w:rPr>
                <w:b/>
                <w:bCs/>
                <w:color w:val="FFFFFF"/>
                <w:sz w:val="19"/>
                <w:szCs w:val="19"/>
              </w:rPr>
              <w:t xml:space="preserve">Version</w:t>
            </w:r>
          </w:p>
        </w:tc>
        <w:tc>
          <w:tcPr>
            <w:tcW w:type="dxa" w:w="1700"/>
            <w:shd w:fill="1F3864" w:val="clear"/>
            <w:tcMar>
              <w:top w:type="dxa" w:w="80"/>
              <w:left w:type="dxa" w:w="100"/>
              <w:bottom w:type="dxa" w:w="80"/>
              <w:right w:type="dxa" w:w="100"/>
            </w:tcMar>
            <w:vAlign w:val="center"/>
          </w:tcPr>
          <w:p>
            <w:r>
              <w:rPr>
                <w:b/>
                <w:bCs/>
                <w:color w:val="FFFFFF"/>
                <w:sz w:val="19"/>
                <w:szCs w:val="19"/>
              </w:rPr>
              <w:t xml:space="preserve">Date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Author</w:t>
            </w:r>
          </w:p>
        </w:tc>
        <w:tc>
          <w:tcPr>
            <w:tcW w:type="dxa" w:w="394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1400"/>
            <w:tcMar>
              <w:top w:type="dxa" w:w="80"/>
              <w:left w:type="dxa" w:w="100"/>
              <w:bottom w:type="dxa" w:w="80"/>
              <w:right w:type="dxa" w:w="100"/>
            </w:tcMar>
            <w:vAlign w:val="center"/>
          </w:tcPr>
          <w:p>
            <w:r>
              <w:rPr>
                <w:b w:val="false"/>
                <w:bCs w:val="false"/>
                <w:color w:val="262626"/>
                <w:sz w:val="19"/>
                <w:szCs w:val="19"/>
              </w:rPr>
              <w:t xml:space="preserve">0.1</w:t>
            </w:r>
          </w:p>
        </w:tc>
        <w:tc>
          <w:tcPr>
            <w:tcW w:type="dxa" w:w="1700"/>
            <w:tcMar>
              <w:top w:type="dxa" w:w="80"/>
              <w:left w:type="dxa" w:w="100"/>
              <w:bottom w:type="dxa" w:w="80"/>
              <w:right w:type="dxa" w:w="100"/>
            </w:tcMar>
            <w:vAlign w:val="center"/>
          </w:tcPr>
          <w:p>
            <w:r>
              <w:rPr>
                <w:b w:val="false"/>
                <w:bCs w:val="false"/>
                <w:color w:val="262626"/>
                <w:sz w:val="19"/>
                <w:szCs w:val="19"/>
              </w:rPr>
              <w:t xml:space="preserve">15 Jun 2026</w:t>
            </w:r>
          </w:p>
        </w:tc>
        <w:tc>
          <w:tcPr>
            <w:tcW w:type="dxa" w:w="2400"/>
            <w:tcMar>
              <w:top w:type="dxa" w:w="80"/>
              <w:left w:type="dxa" w:w="100"/>
              <w:bottom w:type="dxa" w:w="80"/>
              <w:right w:type="dxa" w:w="100"/>
            </w:tcMar>
            <w:vAlign w:val="center"/>
          </w:tcPr>
          <w:p>
            <w:r>
              <w:rPr>
                <w:b w:val="false"/>
                <w:bCs w:val="false"/>
                <w:color w:val="262626"/>
                <w:sz w:val="19"/>
                <w:szCs w:val="19"/>
              </w:rPr>
              <w:t xml:space="preserve">Business Analyst</w:t>
            </w:r>
          </w:p>
        </w:tc>
        <w:tc>
          <w:tcPr>
            <w:tcW w:type="dxa" w:w="3940"/>
            <w:tcMar>
              <w:top w:type="dxa" w:w="80"/>
              <w:left w:type="dxa" w:w="100"/>
              <w:bottom w:type="dxa" w:w="80"/>
              <w:right w:type="dxa" w:w="100"/>
            </w:tcMar>
            <w:vAlign w:val="center"/>
          </w:tcPr>
          <w:p>
            <w:r>
              <w:rPr>
                <w:b w:val="false"/>
                <w:bCs w:val="false"/>
                <w:color w:val="262626"/>
                <w:sz w:val="19"/>
                <w:szCs w:val="19"/>
              </w:rPr>
              <w:t xml:space="preserve">Initial draft for internal review</w:t>
            </w:r>
          </w:p>
        </w:tc>
      </w:tr>
      <w:tr>
        <w:tc>
          <w:tcPr>
            <w:tcW w:type="dxa" w:w="1400"/>
            <w:tcMar>
              <w:top w:type="dxa" w:w="80"/>
              <w:left w:type="dxa" w:w="100"/>
              <w:bottom w:type="dxa" w:w="80"/>
              <w:right w:type="dxa" w:w="100"/>
            </w:tcMar>
            <w:vAlign w:val="center"/>
          </w:tcPr>
          <w:p>
            <w:r>
              <w:rPr>
                <w:b w:val="false"/>
                <w:bCs w:val="false"/>
                <w:color w:val="262626"/>
                <w:sz w:val="19"/>
                <w:szCs w:val="19"/>
              </w:rPr>
              <w:t xml:space="preserve">1.0</w:t>
            </w:r>
          </w:p>
        </w:tc>
        <w:tc>
          <w:tcPr>
            <w:tcW w:type="dxa" w:w="1700"/>
            <w:tcMar>
              <w:top w:type="dxa" w:w="80"/>
              <w:left w:type="dxa" w:w="100"/>
              <w:bottom w:type="dxa" w:w="80"/>
              <w:right w:type="dxa" w:w="100"/>
            </w:tcMar>
            <w:vAlign w:val="center"/>
          </w:tcPr>
          <w:p>
            <w:r>
              <w:rPr>
                <w:b w:val="false"/>
                <w:bCs w:val="false"/>
                <w:color w:val="262626"/>
                <w:sz w:val="19"/>
                <w:szCs w:val="19"/>
              </w:rPr>
              <w:t xml:space="preserve">01 Jul 2026</w:t>
            </w:r>
          </w:p>
        </w:tc>
        <w:tc>
          <w:tcPr>
            <w:tcW w:type="dxa" w:w="2400"/>
            <w:tcMar>
              <w:top w:type="dxa" w:w="80"/>
              <w:left w:type="dxa" w:w="100"/>
              <w:bottom w:type="dxa" w:w="80"/>
              <w:right w:type="dxa" w:w="100"/>
            </w:tcMar>
            <w:vAlign w:val="center"/>
          </w:tcPr>
          <w:p>
            <w:r>
              <w:rPr>
                <w:b w:val="false"/>
                <w:bCs w:val="false"/>
                <w:color w:val="262626"/>
                <w:sz w:val="19"/>
                <w:szCs w:val="19"/>
              </w:rPr>
              <w:t xml:space="preserve">Business Analyst</w:t>
            </w:r>
          </w:p>
        </w:tc>
        <w:tc>
          <w:tcPr>
            <w:tcW w:type="dxa" w:w="3940"/>
            <w:tcMar>
              <w:top w:type="dxa" w:w="80"/>
              <w:left w:type="dxa" w:w="100"/>
              <w:bottom w:type="dxa" w:w="80"/>
              <w:right w:type="dxa" w:w="100"/>
            </w:tcMar>
            <w:vAlign w:val="center"/>
          </w:tcPr>
          <w:p>
            <w:r>
              <w:rPr>
                <w:b w:val="false"/>
                <w:bCs w:val="false"/>
                <w:color w:val="262626"/>
                <w:sz w:val="19"/>
                <w:szCs w:val="19"/>
              </w:rPr>
              <w:t xml:space="preserve">Updated post stakeholder workshop; ready for sign-off</w:t>
            </w:r>
          </w:p>
        </w:tc>
      </w:tr>
    </w:tbl>
    <w:p>
      <w:pPr>
        <w:pageBreakBefore/>
      </w:pPr>
      <w:r>
        <w:br/>
        <w:t xml:space="preserve"/>
      </w:r>
    </w:p>
    <w:p>
      <w:pPr>
        <w:pStyle w:val="Heading1"/>
        <w:pBdr>
          <w:bottom w:val="single" w:color="2E74B5" w:sz="8" w:space="4"/>
        </w:pBdr>
        <w:spacing w:after="200" w:before="400"/>
      </w:pPr>
      <w:r>
        <w:rPr>
          <w:b/>
          <w:bCs/>
          <w:color w:val="1F3864"/>
          <w:sz w:val="28"/>
          <w:szCs w:val="28"/>
        </w:rPr>
        <w:t xml:space="preserve">1.  Executive Summary</w:t>
      </w:r>
    </w:p>
    <w:p>
      <w:pPr>
        <w:spacing w:after="160" w:line="276"/>
      </w:pPr>
      <w:r>
        <w:rPr>
          <w:color w:val="262626"/>
          <w:sz w:val="21"/>
          <w:szCs w:val="21"/>
        </w:rPr>
        <w:t xml:space="preserve">The organization currently manages core Human Resource (HR) functions — including employee records, recruitment, attendance, leave, payroll, performance, and exit formalities — through a combination of spreadsheets, disconnected point solutions, and manual, paper-based processes. This fragmented approach has resulted in data inconsistency, compliance risk, delayed payroll cycles, limited visibility for management, and a poor experience for employees and HR staff alike.</w:t>
      </w:r>
    </w:p>
    <w:p>
      <w:pPr>
        <w:spacing w:after="160" w:line="276"/>
      </w:pPr>
      <w:r>
        <w:rPr>
          <w:color w:val="262626"/>
          <w:sz w:val="21"/>
          <w:szCs w:val="21"/>
        </w:rPr>
        <w:t xml:space="preserve">This Business Requirements Document (BRD) defines the business needs, functional and non-functional requirements, and success criteria for implementing an integrated Human Resource Management System (HRMS). The proposed system will serve as the single source of truth for employee data and will digitize the end-to-end employee lifecycle — from hire to retire — while providing self-service capabilities, statutory compliance, and analytics for data-driven workforce decisions.</w:t>
      </w:r>
    </w:p>
    <w:p>
      <w:pPr>
        <w:spacing w:after="160" w:line="276"/>
      </w:pPr>
      <w:r>
        <w:rPr>
          <w:color w:val="262626"/>
          <w:sz w:val="21"/>
          <w:szCs w:val="21"/>
        </w:rPr>
        <w:t xml:space="preserve">This document is intended for review and formal sign-off by the Project Sponsor, HR Leadership, IT, Finance, and Compliance stakeholders, and will serve as the baseline for solution design, vendor evaluation, and User Acceptance Testing (UAT).</w:t>
      </w:r>
    </w:p>
    <w:p>
      <w:pPr>
        <w:pStyle w:val="Heading1"/>
        <w:pBdr>
          <w:bottom w:val="single" w:color="2E74B5" w:sz="8" w:space="4"/>
        </w:pBdr>
        <w:spacing w:after="200" w:before="400"/>
      </w:pPr>
      <w:r>
        <w:rPr>
          <w:b/>
          <w:bCs/>
          <w:color w:val="1F3864"/>
          <w:sz w:val="28"/>
          <w:szCs w:val="28"/>
        </w:rPr>
        <w:t xml:space="preserve">2.  Purpose of the Document</w:t>
      </w:r>
    </w:p>
    <w:p>
      <w:pPr>
        <w:spacing w:after="160" w:line="276"/>
      </w:pPr>
      <w:r>
        <w:rPr>
          <w:color w:val="262626"/>
          <w:sz w:val="21"/>
          <w:szCs w:val="21"/>
        </w:rPr>
        <w:t xml:space="preserve">The purpose of this BRD is to:</w:t>
      </w:r>
    </w:p>
    <w:p>
      <w:pPr>
        <w:pStyle w:val="ListParagraph"/>
        <w:numPr>
          <w:ilvl w:val="0"/>
          <w:numId w:val="2"/>
        </w:numPr>
        <w:spacing w:after="80"/>
      </w:pPr>
      <w:r>
        <w:rPr>
          <w:color w:val="262626"/>
          <w:sz w:val="21"/>
          <w:szCs w:val="21"/>
        </w:rPr>
        <w:t xml:space="preserve">Capture and document business requirements gathered from stakeholder interviews, workshops, and process walkthroughs.</w:t>
      </w:r>
    </w:p>
    <w:p>
      <w:pPr>
        <w:pStyle w:val="ListParagraph"/>
        <w:numPr>
          <w:ilvl w:val="0"/>
          <w:numId w:val="2"/>
        </w:numPr>
        <w:spacing w:after="80"/>
      </w:pPr>
      <w:r>
        <w:rPr>
          <w:color w:val="262626"/>
          <w:sz w:val="21"/>
          <w:szCs w:val="21"/>
        </w:rPr>
        <w:t xml:space="preserve">Provide a shared, agreed-upon reference between business and IT/vendor teams on what the HRMS solution must deliver.</w:t>
      </w:r>
    </w:p>
    <w:p>
      <w:pPr>
        <w:pStyle w:val="ListParagraph"/>
        <w:numPr>
          <w:ilvl w:val="0"/>
          <w:numId w:val="2"/>
        </w:numPr>
        <w:spacing w:after="80"/>
      </w:pPr>
      <w:r>
        <w:rPr>
          <w:color w:val="262626"/>
          <w:sz w:val="21"/>
          <w:szCs w:val="21"/>
        </w:rPr>
        <w:t xml:space="preserve">Serve as the basis for functional design, solution evaluation/RFP scoring, configuration, and UAT test case development.</w:t>
      </w:r>
    </w:p>
    <w:p>
      <w:pPr>
        <w:pStyle w:val="ListParagraph"/>
        <w:numPr>
          <w:ilvl w:val="0"/>
          <w:numId w:val="2"/>
        </w:numPr>
        <w:spacing w:after="80"/>
      </w:pPr>
      <w:r>
        <w:rPr>
          <w:color w:val="262626"/>
          <w:sz w:val="21"/>
          <w:szCs w:val="21"/>
        </w:rPr>
        <w:t xml:space="preserve">Define scope boundaries to manage stakeholder expectations and control scope creep.</w:t>
      </w:r>
    </w:p>
    <w:p>
      <w:pPr>
        <w:pStyle w:val="Heading1"/>
        <w:pBdr>
          <w:bottom w:val="single" w:color="2E74B5" w:sz="8" w:space="4"/>
        </w:pBdr>
        <w:spacing w:after="200" w:before="400"/>
      </w:pPr>
      <w:r>
        <w:rPr>
          <w:b/>
          <w:bCs/>
          <w:color w:val="1F3864"/>
          <w:sz w:val="28"/>
          <w:szCs w:val="28"/>
        </w:rPr>
        <w:t xml:space="preserve">3.  Business Objectives</w:t>
      </w:r>
    </w:p>
    <w:p>
      <w:pPr>
        <w:spacing w:after="160" w:line="276"/>
      </w:pPr>
      <w:r>
        <w:rPr>
          <w:color w:val="262626"/>
          <w:sz w:val="21"/>
          <w:szCs w:val="21"/>
        </w:rPr>
        <w:t xml:space="preserve">The HRMS implementation is expected to deliver the following measurable business outcomes:</w:t>
      </w:r>
    </w:p>
    <w:p>
      <w:pPr>
        <w:pStyle w:val="ListParagraph"/>
        <w:numPr>
          <w:ilvl w:val="0"/>
          <w:numId w:val="3"/>
        </w:numPr>
        <w:spacing w:after="80"/>
      </w:pPr>
      <w:r>
        <w:rPr>
          <w:color w:val="262626"/>
          <w:sz w:val="21"/>
          <w:szCs w:val="21"/>
        </w:rPr>
        <w:t xml:space="preserve">Centralize all employee data into a single, accurate system of record, eliminating duplicate and conflicting data sources.</w:t>
      </w:r>
    </w:p>
    <w:p>
      <w:pPr>
        <w:pStyle w:val="ListParagraph"/>
        <w:numPr>
          <w:ilvl w:val="0"/>
          <w:numId w:val="3"/>
        </w:numPr>
        <w:spacing w:after="80"/>
      </w:pPr>
      <w:r>
        <w:rPr>
          <w:color w:val="262626"/>
          <w:sz w:val="21"/>
          <w:szCs w:val="21"/>
        </w:rPr>
        <w:t xml:space="preserve">Reduce payroll processing time and errors by automating attendance, leave, and payroll calculation workflows.</w:t>
      </w:r>
    </w:p>
    <w:p>
      <w:pPr>
        <w:pStyle w:val="ListParagraph"/>
        <w:numPr>
          <w:ilvl w:val="0"/>
          <w:numId w:val="3"/>
        </w:numPr>
        <w:spacing w:after="80"/>
      </w:pPr>
      <w:r>
        <w:rPr>
          <w:color w:val="262626"/>
          <w:sz w:val="21"/>
          <w:szCs w:val="21"/>
        </w:rPr>
        <w:t xml:space="preserve">Improve HR service delivery through employee and manager self-service, reducing routine HR helpdesk queries by at least 40%.</w:t>
      </w:r>
    </w:p>
    <w:p>
      <w:pPr>
        <w:pStyle w:val="ListParagraph"/>
        <w:numPr>
          <w:ilvl w:val="0"/>
          <w:numId w:val="3"/>
        </w:numPr>
        <w:spacing w:after="80"/>
      </w:pPr>
      <w:r>
        <w:rPr>
          <w:color w:val="262626"/>
          <w:sz w:val="21"/>
          <w:szCs w:val="21"/>
        </w:rPr>
        <w:t xml:space="preserve">Ensure statutory and regulatory compliance (labor law, tax, and data privacy) through configurable, auditable workflows.</w:t>
      </w:r>
    </w:p>
    <w:p>
      <w:pPr>
        <w:pStyle w:val="ListParagraph"/>
        <w:numPr>
          <w:ilvl w:val="0"/>
          <w:numId w:val="3"/>
        </w:numPr>
        <w:spacing w:after="80"/>
      </w:pPr>
      <w:r>
        <w:rPr>
          <w:color w:val="262626"/>
          <w:sz w:val="21"/>
          <w:szCs w:val="21"/>
        </w:rPr>
        <w:t xml:space="preserve">Provide HR leadership with real-time dashboards and analytics to support workforce planning and decision-making.</w:t>
      </w:r>
    </w:p>
    <w:p>
      <w:pPr>
        <w:pStyle w:val="ListParagraph"/>
        <w:numPr>
          <w:ilvl w:val="0"/>
          <w:numId w:val="3"/>
        </w:numPr>
        <w:spacing w:after="80"/>
      </w:pPr>
      <w:r>
        <w:rPr>
          <w:color w:val="262626"/>
          <w:sz w:val="21"/>
          <w:szCs w:val="21"/>
        </w:rPr>
        <w:t xml:space="preserve">Improve the candidate and new-hire experience through a digital recruitment and onboarding process.</w:t>
      </w:r>
    </w:p>
    <w:p>
      <w:pPr>
        <w:pStyle w:val="ListParagraph"/>
        <w:numPr>
          <w:ilvl w:val="0"/>
          <w:numId w:val="3"/>
        </w:numPr>
        <w:spacing w:after="80"/>
      </w:pPr>
      <w:r>
        <w:rPr>
          <w:color w:val="262626"/>
          <w:sz w:val="21"/>
          <w:szCs w:val="21"/>
        </w:rPr>
        <w:t xml:space="preserve">Reduce time-to-hire and improve quality of hire through a structured applicant tracking process.</w:t>
      </w:r>
    </w:p>
    <w:p>
      <w:pPr>
        <w:pStyle w:val="ListParagraph"/>
        <w:numPr>
          <w:ilvl w:val="0"/>
          <w:numId w:val="3"/>
        </w:numPr>
        <w:spacing w:after="80"/>
      </w:pPr>
      <w:r>
        <w:rPr>
          <w:color w:val="262626"/>
          <w:sz w:val="21"/>
          <w:szCs w:val="21"/>
        </w:rPr>
        <w:t xml:space="preserve">Establish a scalable platform that supports organizational growth, including new locations and entities.</w:t>
      </w:r>
    </w:p>
    <w:p>
      <w:pPr>
        <w:pStyle w:val="Heading1"/>
        <w:pBdr>
          <w:bottom w:val="single" w:color="2E74B5" w:sz="8" w:space="4"/>
        </w:pBdr>
        <w:spacing w:after="200" w:before="400"/>
      </w:pPr>
      <w:r>
        <w:rPr>
          <w:b/>
          <w:bCs/>
          <w:color w:val="1F3864"/>
          <w:sz w:val="28"/>
          <w:szCs w:val="28"/>
        </w:rPr>
        <w:t xml:space="preserve">4.  Project Scope</w:t>
      </w:r>
    </w:p>
    <w:p>
      <w:pPr>
        <w:pStyle w:val="Heading2"/>
        <w:spacing w:after="120" w:before="260"/>
      </w:pPr>
      <w:r>
        <w:rPr>
          <w:b/>
          <w:bCs/>
          <w:color w:val="2E74B5"/>
          <w:sz w:val="24"/>
          <w:szCs w:val="24"/>
        </w:rPr>
        <w:t xml:space="preserve">3.1  In Scope and Out of Scope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720"/>
        <w:gridCol w:w="4720"/>
      </w:tblGrid>
      <w:tr>
        <w:tc>
          <w:tcPr>
            <w:tcW w:type="dxa" w:w="4720"/>
            <w:shd w:fill="1F3864" w:val="clear"/>
            <w:tcMar>
              <w:top w:type="dxa" w:w="80"/>
              <w:left w:type="dxa" w:w="100"/>
              <w:bottom w:type="dxa" w:w="80"/>
              <w:right w:type="dxa" w:w="100"/>
            </w:tcMar>
            <w:vAlign w:val="center"/>
          </w:tcPr>
          <w:p>
            <w:r>
              <w:rPr>
                <w:b/>
                <w:bCs/>
                <w:color w:val="FFFFFF"/>
                <w:sz w:val="19"/>
                <w:szCs w:val="19"/>
              </w:rPr>
              <w:t xml:space="preserve">In Scope</w:t>
            </w:r>
          </w:p>
        </w:tc>
        <w:tc>
          <w:tcPr>
            <w:tcW w:type="dxa" w:w="4720"/>
            <w:shd w:fill="1F3864" w:val="clear"/>
            <w:tcMar>
              <w:top w:type="dxa" w:w="80"/>
              <w:left w:type="dxa" w:w="100"/>
              <w:bottom w:type="dxa" w:w="80"/>
              <w:right w:type="dxa" w:w="100"/>
            </w:tcMar>
            <w:vAlign w:val="center"/>
          </w:tcPr>
          <w:p>
            <w:r>
              <w:rPr>
                <w:b/>
                <w:bCs/>
                <w:color w:val="FFFFFF"/>
                <w:sz w:val="19"/>
                <w:szCs w:val="19"/>
              </w:rPr>
              <w:t xml:space="preserve">Out of Scope</w:t>
            </w:r>
          </w:p>
        </w:tc>
      </w:tr>
      <w:tr>
        <w:tc>
          <w:tcPr>
            <w:tcW w:type="dxa" w:w="4720"/>
            <w:tcMar>
              <w:top w:type="dxa" w:w="80"/>
              <w:left w:type="dxa" w:w="100"/>
              <w:bottom w:type="dxa" w:w="80"/>
              <w:right w:type="dxa" w:w="100"/>
            </w:tcMar>
            <w:vAlign w:val="center"/>
          </w:tcPr>
          <w:p>
            <w:r>
              <w:rPr>
                <w:b w:val="false"/>
                <w:bCs w:val="false"/>
                <w:color w:val="262626"/>
                <w:sz w:val="19"/>
                <w:szCs w:val="19"/>
              </w:rPr>
              <w:t xml:space="preserve">Core HR / employee master data management</w:t>
            </w:r>
          </w:p>
        </w:tc>
        <w:tc>
          <w:tcPr>
            <w:tcW w:type="dxa" w:w="4720"/>
            <w:tcMar>
              <w:top w:type="dxa" w:w="80"/>
              <w:left w:type="dxa" w:w="100"/>
              <w:bottom w:type="dxa" w:w="80"/>
              <w:right w:type="dxa" w:w="100"/>
            </w:tcMar>
            <w:vAlign w:val="center"/>
          </w:tcPr>
          <w:p>
            <w:r>
              <w:rPr>
                <w:b w:val="false"/>
                <w:bCs w:val="false"/>
                <w:color w:val="262626"/>
                <w:sz w:val="19"/>
                <w:szCs w:val="19"/>
              </w:rPr>
              <w:t xml:space="preserve">Payroll processing for international/multi-country entities beyond Phase 1 geographies</w:t>
            </w:r>
          </w:p>
        </w:tc>
      </w:tr>
      <w:tr>
        <w:tc>
          <w:tcPr>
            <w:tcW w:type="dxa" w:w="4720"/>
            <w:tcMar>
              <w:top w:type="dxa" w:w="80"/>
              <w:left w:type="dxa" w:w="100"/>
              <w:bottom w:type="dxa" w:w="80"/>
              <w:right w:type="dxa" w:w="100"/>
            </w:tcMar>
            <w:vAlign w:val="center"/>
          </w:tcPr>
          <w:p>
            <w:r>
              <w:rPr>
                <w:b w:val="false"/>
                <w:bCs w:val="false"/>
                <w:color w:val="262626"/>
                <w:sz w:val="19"/>
                <w:szCs w:val="19"/>
              </w:rPr>
              <w:t xml:space="preserve">Recruitment and applicant tracking (ATS)</w:t>
            </w:r>
          </w:p>
        </w:tc>
        <w:tc>
          <w:tcPr>
            <w:tcW w:type="dxa" w:w="4720"/>
            <w:tcMar>
              <w:top w:type="dxa" w:w="80"/>
              <w:left w:type="dxa" w:w="100"/>
              <w:bottom w:type="dxa" w:w="80"/>
              <w:right w:type="dxa" w:w="100"/>
            </w:tcMar>
            <w:vAlign w:val="center"/>
          </w:tcPr>
          <w:p>
            <w:r>
              <w:rPr>
                <w:b w:val="false"/>
                <w:bCs w:val="false"/>
                <w:color w:val="262626"/>
                <w:sz w:val="19"/>
                <w:szCs w:val="19"/>
              </w:rPr>
              <w:t xml:space="preserve">Custom mobile app development beyond responsive web (Phase 2)</w:t>
            </w:r>
          </w:p>
        </w:tc>
      </w:tr>
      <w:tr>
        <w:tc>
          <w:tcPr>
            <w:tcW w:type="dxa" w:w="4720"/>
            <w:tcMar>
              <w:top w:type="dxa" w:w="80"/>
              <w:left w:type="dxa" w:w="100"/>
              <w:bottom w:type="dxa" w:w="80"/>
              <w:right w:type="dxa" w:w="100"/>
            </w:tcMar>
            <w:vAlign w:val="center"/>
          </w:tcPr>
          <w:p>
            <w:r>
              <w:rPr>
                <w:b w:val="false"/>
                <w:bCs w:val="false"/>
                <w:color w:val="262626"/>
                <w:sz w:val="19"/>
                <w:szCs w:val="19"/>
              </w:rPr>
              <w:t xml:space="preserve">Onboarding and offboarding workflows</w:t>
            </w:r>
          </w:p>
        </w:tc>
        <w:tc>
          <w:tcPr>
            <w:tcW w:type="dxa" w:w="4720"/>
            <w:tcMar>
              <w:top w:type="dxa" w:w="80"/>
              <w:left w:type="dxa" w:w="100"/>
              <w:bottom w:type="dxa" w:w="80"/>
              <w:right w:type="dxa" w:w="100"/>
            </w:tcMar>
            <w:vAlign w:val="center"/>
          </w:tcPr>
          <w:p>
            <w:r>
              <w:rPr>
                <w:b w:val="false"/>
                <w:bCs w:val="false"/>
                <w:color w:val="262626"/>
                <w:sz w:val="19"/>
                <w:szCs w:val="19"/>
              </w:rPr>
              <w:t xml:space="preserve">Learning content authoring tools (LMS content creation)</w:t>
            </w:r>
          </w:p>
        </w:tc>
      </w:tr>
      <w:tr>
        <w:tc>
          <w:tcPr>
            <w:tcW w:type="dxa" w:w="4720"/>
            <w:tcMar>
              <w:top w:type="dxa" w:w="80"/>
              <w:left w:type="dxa" w:w="100"/>
              <w:bottom w:type="dxa" w:w="80"/>
              <w:right w:type="dxa" w:w="100"/>
            </w:tcMar>
            <w:vAlign w:val="center"/>
          </w:tcPr>
          <w:p>
            <w:r>
              <w:rPr>
                <w:b w:val="false"/>
                <w:bCs w:val="false"/>
                <w:color w:val="262626"/>
                <w:sz w:val="19"/>
                <w:szCs w:val="19"/>
              </w:rPr>
              <w:t xml:space="preserve">Time, attendance, and leave management</w:t>
            </w:r>
          </w:p>
        </w:tc>
        <w:tc>
          <w:tcPr>
            <w:tcW w:type="dxa" w:w="4720"/>
            <w:tcMar>
              <w:top w:type="dxa" w:w="80"/>
              <w:left w:type="dxa" w:w="100"/>
              <w:bottom w:type="dxa" w:w="80"/>
              <w:right w:type="dxa" w:w="100"/>
            </w:tcMar>
            <w:vAlign w:val="center"/>
          </w:tcPr>
          <w:p>
            <w:r>
              <w:rPr>
                <w:b w:val="false"/>
                <w:bCs w:val="false"/>
                <w:color w:val="262626"/>
                <w:sz w:val="19"/>
                <w:szCs w:val="19"/>
              </w:rPr>
              <w:t xml:space="preserve">Travel and expense management module</w:t>
            </w:r>
          </w:p>
        </w:tc>
      </w:tr>
      <w:tr>
        <w:tc>
          <w:tcPr>
            <w:tcW w:type="dxa" w:w="4720"/>
            <w:tcMar>
              <w:top w:type="dxa" w:w="80"/>
              <w:left w:type="dxa" w:w="100"/>
              <w:bottom w:type="dxa" w:w="80"/>
              <w:right w:type="dxa" w:w="100"/>
            </w:tcMar>
            <w:vAlign w:val="center"/>
          </w:tcPr>
          <w:p>
            <w:r>
              <w:rPr>
                <w:b w:val="false"/>
                <w:bCs w:val="false"/>
                <w:color w:val="262626"/>
                <w:sz w:val="19"/>
                <w:szCs w:val="19"/>
              </w:rPr>
              <w:t xml:space="preserve">Payroll processing and statutory compliance (single country, Phase 1)</w:t>
            </w:r>
          </w:p>
        </w:tc>
        <w:tc>
          <w:tcPr>
            <w:tcW w:type="dxa" w:w="4720"/>
            <w:tcMar>
              <w:top w:type="dxa" w:w="80"/>
              <w:left w:type="dxa" w:w="100"/>
              <w:bottom w:type="dxa" w:w="80"/>
              <w:right w:type="dxa" w:w="100"/>
            </w:tcMar>
            <w:vAlign w:val="center"/>
          </w:tcPr>
          <w:p>
            <w:r>
              <w:rPr>
                <w:b w:val="false"/>
                <w:bCs w:val="false"/>
                <w:color w:val="262626"/>
                <w:sz w:val="19"/>
                <w:szCs w:val="19"/>
              </w:rPr>
              <w:t xml:space="preserve">Legacy system data archival beyond 3 years</w:t>
            </w:r>
          </w:p>
        </w:tc>
      </w:tr>
      <w:tr>
        <w:tc>
          <w:tcPr>
            <w:tcW w:type="dxa" w:w="4720"/>
            <w:tcMar>
              <w:top w:type="dxa" w:w="80"/>
              <w:left w:type="dxa" w:w="100"/>
              <w:bottom w:type="dxa" w:w="80"/>
              <w:right w:type="dxa" w:w="100"/>
            </w:tcMar>
            <w:vAlign w:val="center"/>
          </w:tcPr>
          <w:p>
            <w:r>
              <w:rPr>
                <w:b w:val="false"/>
                <w:bCs w:val="false"/>
                <w:color w:val="262626"/>
                <w:sz w:val="19"/>
                <w:szCs w:val="19"/>
              </w:rPr>
              <w:t xml:space="preserve">Performance management and goal setting</w:t>
            </w:r>
          </w:p>
        </w:tc>
        <w:tc>
          <w:tcPr>
            <w:tcW w:type="dxa" w:w="4720"/>
            <w:tcMar>
              <w:top w:type="dxa" w:w="80"/>
              <w:left w:type="dxa" w:w="100"/>
              <w:bottom w:type="dxa" w:w="80"/>
              <w:right w:type="dxa" w:w="100"/>
            </w:tcMar>
            <w:vAlign w:val="center"/>
          </w:tcPr>
          <w:p>
            <w:r>
              <w:rPr>
                <w:b w:val="false"/>
                <w:bCs w:val="false"/>
                <w:color w:val="262626"/>
                <w:sz w:val="19"/>
                <w:szCs w:val="19"/>
              </w:rPr>
              <w:t xml:space="preserve"/>
            </w:r>
          </w:p>
        </w:tc>
      </w:tr>
      <w:tr>
        <w:tc>
          <w:tcPr>
            <w:tcW w:type="dxa" w:w="4720"/>
            <w:tcMar>
              <w:top w:type="dxa" w:w="80"/>
              <w:left w:type="dxa" w:w="100"/>
              <w:bottom w:type="dxa" w:w="80"/>
              <w:right w:type="dxa" w:w="100"/>
            </w:tcMar>
            <w:vAlign w:val="center"/>
          </w:tcPr>
          <w:p>
            <w:r>
              <w:rPr>
                <w:b w:val="false"/>
                <w:bCs w:val="false"/>
                <w:color w:val="262626"/>
                <w:sz w:val="19"/>
                <w:szCs w:val="19"/>
              </w:rPr>
              <w:t xml:space="preserve">Employee and manager self-service portals</w:t>
            </w:r>
          </w:p>
        </w:tc>
        <w:tc>
          <w:tcPr>
            <w:tcW w:type="dxa" w:w="4720"/>
            <w:tcMar>
              <w:top w:type="dxa" w:w="80"/>
              <w:left w:type="dxa" w:w="100"/>
              <w:bottom w:type="dxa" w:w="80"/>
              <w:right w:type="dxa" w:w="100"/>
            </w:tcMar>
            <w:vAlign w:val="center"/>
          </w:tcPr>
          <w:p>
            <w:r>
              <w:rPr>
                <w:b w:val="false"/>
                <w:bCs w:val="false"/>
                <w:color w:val="262626"/>
                <w:sz w:val="19"/>
                <w:szCs w:val="19"/>
              </w:rPr>
              <w:t xml:space="preserve"/>
            </w:r>
          </w:p>
        </w:tc>
      </w:tr>
      <w:tr>
        <w:tc>
          <w:tcPr>
            <w:tcW w:type="dxa" w:w="4720"/>
            <w:tcMar>
              <w:top w:type="dxa" w:w="80"/>
              <w:left w:type="dxa" w:w="100"/>
              <w:bottom w:type="dxa" w:w="80"/>
              <w:right w:type="dxa" w:w="100"/>
            </w:tcMar>
            <w:vAlign w:val="center"/>
          </w:tcPr>
          <w:p>
            <w:r>
              <w:rPr>
                <w:b w:val="false"/>
                <w:bCs w:val="false"/>
                <w:color w:val="262626"/>
                <w:sz w:val="19"/>
                <w:szCs w:val="19"/>
              </w:rPr>
              <w:t xml:space="preserve">HR analytics and standard/custom reporting dashboards</w:t>
            </w:r>
          </w:p>
        </w:tc>
        <w:tc>
          <w:tcPr>
            <w:tcW w:type="dxa" w:w="4720"/>
            <w:tcMar>
              <w:top w:type="dxa" w:w="80"/>
              <w:left w:type="dxa" w:w="100"/>
              <w:bottom w:type="dxa" w:w="80"/>
              <w:right w:type="dxa" w:w="100"/>
            </w:tcMar>
            <w:vAlign w:val="center"/>
          </w:tcPr>
          <w:p>
            <w:r>
              <w:rPr>
                <w:b w:val="false"/>
                <w:bCs w:val="false"/>
                <w:color w:val="262626"/>
                <w:sz w:val="19"/>
                <w:szCs w:val="19"/>
              </w:rPr>
              <w:t xml:space="preserve"/>
            </w:r>
          </w:p>
        </w:tc>
      </w:tr>
      <w:tr>
        <w:tc>
          <w:tcPr>
            <w:tcW w:type="dxa" w:w="4720"/>
            <w:tcMar>
              <w:top w:type="dxa" w:w="80"/>
              <w:left w:type="dxa" w:w="100"/>
              <w:bottom w:type="dxa" w:w="80"/>
              <w:right w:type="dxa" w:w="100"/>
            </w:tcMar>
            <w:vAlign w:val="center"/>
          </w:tcPr>
          <w:p>
            <w:r>
              <w:rPr>
                <w:b w:val="false"/>
                <w:bCs w:val="false"/>
                <w:color w:val="262626"/>
                <w:sz w:val="19"/>
                <w:szCs w:val="19"/>
              </w:rPr>
              <w:t xml:space="preserve">Integration with existing Payroll bank file, SSO/AD, and Finance GL</w:t>
            </w:r>
          </w:p>
        </w:tc>
        <w:tc>
          <w:tcPr>
            <w:tcW w:type="dxa" w:w="4720"/>
            <w:tcMar>
              <w:top w:type="dxa" w:w="80"/>
              <w:left w:type="dxa" w:w="100"/>
              <w:bottom w:type="dxa" w:w="80"/>
              <w:right w:type="dxa" w:w="100"/>
            </w:tcMar>
            <w:vAlign w:val="center"/>
          </w:tcPr>
          <w:p>
            <w:r>
              <w:rPr>
                <w:b w:val="false"/>
                <w:bCs w:val="false"/>
                <w:color w:val="262626"/>
                <w:sz w:val="19"/>
                <w:szCs w:val="19"/>
              </w:rPr>
              <w:t xml:space="preserve"/>
            </w:r>
          </w:p>
        </w:tc>
      </w:tr>
    </w:tbl>
    <w:p>
      <w:pPr>
        <w:pStyle w:val="Heading2"/>
        <w:spacing w:after="120" w:before="260"/>
      </w:pPr>
      <w:r>
        <w:rPr>
          <w:b/>
          <w:bCs/>
          <w:color w:val="2E74B5"/>
          <w:sz w:val="24"/>
          <w:szCs w:val="24"/>
        </w:rPr>
        <w:t xml:space="preserve">3.2  Business Units / Locations Covered</w:t>
      </w:r>
    </w:p>
    <w:p>
      <w:pPr>
        <w:spacing w:after="160" w:line="276"/>
      </w:pPr>
      <w:r>
        <w:rPr>
          <w:color w:val="262626"/>
          <w:sz w:val="21"/>
          <w:szCs w:val="21"/>
        </w:rPr>
        <w:t xml:space="preserve">Phase 1 covers all corporate, sales, and operations employees across existing domestic locations, including permanent, contractual, and probationary employee categories. Phase 2 (subsequent to this BRD) will evaluate expansion to international subsidiaries.</w:t>
      </w:r>
    </w:p>
    <w:p>
      <w:pPr>
        <w:pStyle w:val="Heading1"/>
        <w:pBdr>
          <w:bottom w:val="single" w:color="2E74B5" w:sz="8" w:space="4"/>
        </w:pBdr>
        <w:spacing w:after="200" w:before="400"/>
      </w:pPr>
      <w:r>
        <w:rPr>
          <w:b/>
          <w:bCs/>
          <w:color w:val="1F3864"/>
          <w:sz w:val="28"/>
          <w:szCs w:val="28"/>
        </w:rPr>
        <w:t xml:space="preserve">5.  Stakeholders</w:t>
      </w:r>
    </w:p>
    <w:p>
      <w:pPr>
        <w:spacing w:after="160" w:line="276"/>
      </w:pPr>
      <w:r>
        <w:rPr>
          <w:color w:val="262626"/>
          <w:sz w:val="21"/>
          <w:szCs w:val="21"/>
        </w:rPr>
        <w:t xml:space="preserve">The table below identifies key stakeholders engaged in requirements elicitation and validation, along with their interest in the project.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440"/>
      </w:tblGrid>
      <w:tr>
        <w:tc>
          <w:tcPr>
            <w:tcW w:type="dxa" w:w="22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2600"/>
            <w:shd w:fill="1F3864" w:val="clear"/>
            <w:tcMar>
              <w:top w:type="dxa" w:w="80"/>
              <w:left w:type="dxa" w:w="100"/>
              <w:bottom w:type="dxa" w:w="80"/>
              <w:right w:type="dxa" w:w="100"/>
            </w:tcMar>
            <w:vAlign w:val="center"/>
          </w:tcPr>
          <w:p>
            <w:r>
              <w:rPr>
                <w:b/>
                <w:bCs/>
                <w:color w:val="FFFFFF"/>
                <w:sz w:val="19"/>
                <w:szCs w:val="19"/>
              </w:rPr>
              <w:t xml:space="preserve">Represents</w:t>
            </w:r>
          </w:p>
        </w:tc>
        <w:tc>
          <w:tcPr>
            <w:tcW w:type="dxa" w:w="2200"/>
            <w:shd w:fill="1F3864" w:val="clear"/>
            <w:tcMar>
              <w:top w:type="dxa" w:w="80"/>
              <w:left w:type="dxa" w:w="100"/>
              <w:bottom w:type="dxa" w:w="80"/>
              <w:right w:type="dxa" w:w="100"/>
            </w:tcMar>
            <w:vAlign w:val="center"/>
          </w:tcPr>
          <w:p>
            <w:r>
              <w:rPr>
                <w:b/>
                <w:bCs/>
                <w:color w:val="FFFFFF"/>
                <w:sz w:val="19"/>
                <w:szCs w:val="19"/>
              </w:rPr>
              <w:t xml:space="preserve">Department</w:t>
            </w:r>
          </w:p>
        </w:tc>
        <w:tc>
          <w:tcPr>
            <w:tcW w:type="dxa" w:w="2440"/>
            <w:shd w:fill="1F3864" w:val="clear"/>
            <w:tcMar>
              <w:top w:type="dxa" w:w="80"/>
              <w:left w:type="dxa" w:w="100"/>
              <w:bottom w:type="dxa" w:w="80"/>
              <w:right w:type="dxa" w:w="100"/>
            </w:tcMar>
            <w:vAlign w:val="center"/>
          </w:tcPr>
          <w:p>
            <w:r>
              <w:rPr>
                <w:b/>
                <w:bCs/>
                <w:color w:val="FFFFFF"/>
                <w:sz w:val="19"/>
                <w:szCs w:val="19"/>
              </w:rPr>
              <w:t xml:space="preserve">Interest / Stake</w:t>
            </w:r>
          </w:p>
        </w:tc>
      </w:tr>
      <w:tr>
        <w:tc>
          <w:tcPr>
            <w:tcW w:type="dxa" w:w="2200"/>
            <w:tcMar>
              <w:top w:type="dxa" w:w="80"/>
              <w:left w:type="dxa" w:w="100"/>
              <w:bottom w:type="dxa" w:w="80"/>
              <w:right w:type="dxa" w:w="100"/>
            </w:tcMar>
            <w:vAlign w:val="center"/>
          </w:tcPr>
          <w:p>
            <w:r>
              <w:rPr>
                <w:b/>
                <w:bCs/>
                <w:color w:val="262626"/>
                <w:sz w:val="19"/>
                <w:szCs w:val="19"/>
              </w:rPr>
              <w:t xml:space="preserve">Executive Sponsor</w:t>
            </w:r>
          </w:p>
        </w:tc>
        <w:tc>
          <w:tcPr>
            <w:tcW w:type="dxa" w:w="2600"/>
            <w:tcMar>
              <w:top w:type="dxa" w:w="80"/>
              <w:left w:type="dxa" w:w="100"/>
              <w:bottom w:type="dxa" w:w="80"/>
              <w:right w:type="dxa" w:w="100"/>
            </w:tcMar>
            <w:vAlign w:val="center"/>
          </w:tcPr>
          <w:p>
            <w:r>
              <w:rPr>
                <w:b w:val="false"/>
                <w:bCs w:val="false"/>
                <w:color w:val="262626"/>
                <w:sz w:val="19"/>
                <w:szCs w:val="19"/>
              </w:rPr>
              <w:t xml:space="preserve">Chief Human Resources Officer</w:t>
            </w:r>
          </w:p>
        </w:tc>
        <w:tc>
          <w:tcPr>
            <w:tcW w:type="dxa" w:w="2200"/>
            <w:tcMar>
              <w:top w:type="dxa" w:w="80"/>
              <w:left w:type="dxa" w:w="100"/>
              <w:bottom w:type="dxa" w:w="80"/>
              <w:right w:type="dxa" w:w="100"/>
            </w:tcMar>
            <w:vAlign w:val="center"/>
          </w:tcPr>
          <w:p>
            <w:r>
              <w:rPr>
                <w:b w:val="false"/>
                <w:bCs w:val="false"/>
                <w:color w:val="262626"/>
                <w:sz w:val="19"/>
                <w:szCs w:val="19"/>
              </w:rPr>
              <w:t xml:space="preserve">HR – Leadership</w:t>
            </w:r>
          </w:p>
        </w:tc>
        <w:tc>
          <w:tcPr>
            <w:tcW w:type="dxa" w:w="2440"/>
            <w:tcMar>
              <w:top w:type="dxa" w:w="80"/>
              <w:left w:type="dxa" w:w="100"/>
              <w:bottom w:type="dxa" w:w="80"/>
              <w:right w:type="dxa" w:w="100"/>
            </w:tcMar>
            <w:vAlign w:val="center"/>
          </w:tcPr>
          <w:p>
            <w:r>
              <w:rPr>
                <w:b w:val="false"/>
                <w:bCs w:val="false"/>
                <w:color w:val="262626"/>
                <w:sz w:val="19"/>
                <w:szCs w:val="19"/>
              </w:rPr>
              <w:t xml:space="preserve">Owns budget and strategic outcome</w:t>
            </w:r>
          </w:p>
        </w:tc>
      </w:tr>
      <w:tr>
        <w:tc>
          <w:tcPr>
            <w:tcW w:type="dxa" w:w="2200"/>
            <w:tcMar>
              <w:top w:type="dxa" w:w="80"/>
              <w:left w:type="dxa" w:w="100"/>
              <w:bottom w:type="dxa" w:w="80"/>
              <w:right w:type="dxa" w:w="100"/>
            </w:tcMar>
            <w:vAlign w:val="center"/>
          </w:tcPr>
          <w:p>
            <w:r>
              <w:rPr>
                <w:b/>
                <w:bCs/>
                <w:color w:val="262626"/>
                <w:sz w:val="19"/>
                <w:szCs w:val="19"/>
              </w:rPr>
              <w:t xml:space="preserve">Project Sponsor</w:t>
            </w:r>
          </w:p>
        </w:tc>
        <w:tc>
          <w:tcPr>
            <w:tcW w:type="dxa" w:w="2600"/>
            <w:tcMar>
              <w:top w:type="dxa" w:w="80"/>
              <w:left w:type="dxa" w:w="100"/>
              <w:bottom w:type="dxa" w:w="80"/>
              <w:right w:type="dxa" w:w="100"/>
            </w:tcMar>
            <w:vAlign w:val="center"/>
          </w:tcPr>
          <w:p>
            <w:r>
              <w:rPr>
                <w:b w:val="false"/>
                <w:bCs w:val="false"/>
                <w:color w:val="262626"/>
                <w:sz w:val="19"/>
                <w:szCs w:val="19"/>
              </w:rPr>
              <w:t xml:space="preserve">Head of HR Operations</w:t>
            </w:r>
          </w:p>
        </w:tc>
        <w:tc>
          <w:tcPr>
            <w:tcW w:type="dxa" w:w="2200"/>
            <w:tcMar>
              <w:top w:type="dxa" w:w="80"/>
              <w:left w:type="dxa" w:w="100"/>
              <w:bottom w:type="dxa" w:w="80"/>
              <w:right w:type="dxa" w:w="100"/>
            </w:tcMar>
            <w:vAlign w:val="center"/>
          </w:tcPr>
          <w:p>
            <w:r>
              <w:rPr>
                <w:b w:val="false"/>
                <w:bCs w:val="false"/>
                <w:color w:val="262626"/>
                <w:sz w:val="19"/>
                <w:szCs w:val="19"/>
              </w:rPr>
              <w:t xml:space="preserve">HR – Operations</w:t>
            </w:r>
          </w:p>
        </w:tc>
        <w:tc>
          <w:tcPr>
            <w:tcW w:type="dxa" w:w="2440"/>
            <w:tcMar>
              <w:top w:type="dxa" w:w="80"/>
              <w:left w:type="dxa" w:w="100"/>
              <w:bottom w:type="dxa" w:w="80"/>
              <w:right w:type="dxa" w:w="100"/>
            </w:tcMar>
            <w:vAlign w:val="center"/>
          </w:tcPr>
          <w:p>
            <w:r>
              <w:rPr>
                <w:b w:val="false"/>
                <w:bCs w:val="false"/>
                <w:color w:val="262626"/>
                <w:sz w:val="19"/>
                <w:szCs w:val="19"/>
              </w:rPr>
              <w:t xml:space="preserve">Day-to-day requirement owner</w:t>
            </w:r>
          </w:p>
        </w:tc>
      </w:tr>
      <w:tr>
        <w:tc>
          <w:tcPr>
            <w:tcW w:type="dxa" w:w="2200"/>
            <w:tcMar>
              <w:top w:type="dxa" w:w="80"/>
              <w:left w:type="dxa" w:w="100"/>
              <w:bottom w:type="dxa" w:w="80"/>
              <w:right w:type="dxa" w:w="100"/>
            </w:tcMar>
            <w:vAlign w:val="center"/>
          </w:tcPr>
          <w:p>
            <w:r>
              <w:rPr>
                <w:b/>
                <w:bCs/>
                <w:color w:val="262626"/>
                <w:sz w:val="19"/>
                <w:szCs w:val="19"/>
              </w:rPr>
              <w:t xml:space="preserve">Process Owner</w:t>
            </w:r>
          </w:p>
        </w:tc>
        <w:tc>
          <w:tcPr>
            <w:tcW w:type="dxa" w:w="2600"/>
            <w:tcMar>
              <w:top w:type="dxa" w:w="80"/>
              <w:left w:type="dxa" w:w="100"/>
              <w:bottom w:type="dxa" w:w="80"/>
              <w:right w:type="dxa" w:w="100"/>
            </w:tcMar>
            <w:vAlign w:val="center"/>
          </w:tcPr>
          <w:p>
            <w:r>
              <w:rPr>
                <w:b w:val="false"/>
                <w:bCs w:val="false"/>
                <w:color w:val="262626"/>
                <w:sz w:val="19"/>
                <w:szCs w:val="19"/>
              </w:rPr>
              <w:t xml:space="preserve">HR Shared Services Lead</w:t>
            </w:r>
          </w:p>
        </w:tc>
        <w:tc>
          <w:tcPr>
            <w:tcW w:type="dxa" w:w="2200"/>
            <w:tcMar>
              <w:top w:type="dxa" w:w="80"/>
              <w:left w:type="dxa" w:w="100"/>
              <w:bottom w:type="dxa" w:w="80"/>
              <w:right w:type="dxa" w:w="100"/>
            </w:tcMar>
            <w:vAlign w:val="center"/>
          </w:tcPr>
          <w:p>
            <w:r>
              <w:rPr>
                <w:b w:val="false"/>
                <w:bCs w:val="false"/>
                <w:color w:val="262626"/>
                <w:sz w:val="19"/>
                <w:szCs w:val="19"/>
              </w:rPr>
              <w:t xml:space="preserve">HR – Shared Services</w:t>
            </w:r>
          </w:p>
        </w:tc>
        <w:tc>
          <w:tcPr>
            <w:tcW w:type="dxa" w:w="2440"/>
            <w:tcMar>
              <w:top w:type="dxa" w:w="80"/>
              <w:left w:type="dxa" w:w="100"/>
              <w:bottom w:type="dxa" w:w="80"/>
              <w:right w:type="dxa" w:w="100"/>
            </w:tcMar>
            <w:vAlign w:val="center"/>
          </w:tcPr>
          <w:p>
            <w:r>
              <w:rPr>
                <w:b w:val="false"/>
                <w:bCs w:val="false"/>
                <w:color w:val="262626"/>
                <w:sz w:val="19"/>
                <w:szCs w:val="19"/>
              </w:rPr>
              <w:t xml:space="preserve">Defines and validates processes</w:t>
            </w:r>
          </w:p>
        </w:tc>
      </w:tr>
      <w:tr>
        <w:tc>
          <w:tcPr>
            <w:tcW w:type="dxa" w:w="2200"/>
            <w:tcMar>
              <w:top w:type="dxa" w:w="80"/>
              <w:left w:type="dxa" w:w="100"/>
              <w:bottom w:type="dxa" w:w="80"/>
              <w:right w:type="dxa" w:w="100"/>
            </w:tcMar>
            <w:vAlign w:val="center"/>
          </w:tcPr>
          <w:p>
            <w:r>
              <w:rPr>
                <w:b/>
                <w:bCs/>
                <w:color w:val="262626"/>
                <w:sz w:val="19"/>
                <w:szCs w:val="19"/>
              </w:rPr>
              <w:t xml:space="preserve">Business Analyst</w:t>
            </w:r>
          </w:p>
        </w:tc>
        <w:tc>
          <w:tcPr>
            <w:tcW w:type="dxa" w:w="2600"/>
            <w:tcMar>
              <w:top w:type="dxa" w:w="80"/>
              <w:left w:type="dxa" w:w="100"/>
              <w:bottom w:type="dxa" w:w="80"/>
              <w:right w:type="dxa" w:w="100"/>
            </w:tcMar>
            <w:vAlign w:val="center"/>
          </w:tcPr>
          <w:p>
            <w:r>
              <w:rPr>
                <w:b w:val="false"/>
                <w:bCs w:val="false"/>
                <w:color w:val="262626"/>
                <w:sz w:val="19"/>
                <w:szCs w:val="19"/>
              </w:rPr>
              <w:t xml:space="preserve">Assigned BA</w:t>
            </w:r>
          </w:p>
        </w:tc>
        <w:tc>
          <w:tcPr>
            <w:tcW w:type="dxa" w:w="2200"/>
            <w:tcMar>
              <w:top w:type="dxa" w:w="80"/>
              <w:left w:type="dxa" w:w="100"/>
              <w:bottom w:type="dxa" w:w="80"/>
              <w:right w:type="dxa" w:w="100"/>
            </w:tcMar>
            <w:vAlign w:val="center"/>
          </w:tcPr>
          <w:p>
            <w:r>
              <w:rPr>
                <w:b w:val="false"/>
                <w:bCs w:val="false"/>
                <w:color w:val="262626"/>
                <w:sz w:val="19"/>
                <w:szCs w:val="19"/>
              </w:rPr>
              <w:t xml:space="preserve">PMO / IT-Business</w:t>
            </w:r>
          </w:p>
        </w:tc>
        <w:tc>
          <w:tcPr>
            <w:tcW w:type="dxa" w:w="2440"/>
            <w:tcMar>
              <w:top w:type="dxa" w:w="80"/>
              <w:left w:type="dxa" w:w="100"/>
              <w:bottom w:type="dxa" w:w="80"/>
              <w:right w:type="dxa" w:w="100"/>
            </w:tcMar>
            <w:vAlign w:val="center"/>
          </w:tcPr>
          <w:p>
            <w:r>
              <w:rPr>
                <w:b w:val="false"/>
                <w:bCs w:val="false"/>
                <w:color w:val="262626"/>
                <w:sz w:val="19"/>
                <w:szCs w:val="19"/>
              </w:rPr>
              <w:t xml:space="preserve">Elicits, documents, validates requirements</w:t>
            </w:r>
          </w:p>
        </w:tc>
      </w:tr>
      <w:tr>
        <w:tc>
          <w:tcPr>
            <w:tcW w:type="dxa" w:w="2200"/>
            <w:tcMar>
              <w:top w:type="dxa" w:w="80"/>
              <w:left w:type="dxa" w:w="100"/>
              <w:bottom w:type="dxa" w:w="80"/>
              <w:right w:type="dxa" w:w="100"/>
            </w:tcMar>
            <w:vAlign w:val="center"/>
          </w:tcPr>
          <w:p>
            <w:r>
              <w:rPr>
                <w:b/>
                <w:bCs/>
                <w:color w:val="262626"/>
                <w:sz w:val="19"/>
                <w:szCs w:val="19"/>
              </w:rPr>
              <w:t xml:space="preserve">IT Sponsor</w:t>
            </w:r>
          </w:p>
        </w:tc>
        <w:tc>
          <w:tcPr>
            <w:tcW w:type="dxa" w:w="2600"/>
            <w:tcMar>
              <w:top w:type="dxa" w:w="80"/>
              <w:left w:type="dxa" w:w="100"/>
              <w:bottom w:type="dxa" w:w="80"/>
              <w:right w:type="dxa" w:w="100"/>
            </w:tcMar>
            <w:vAlign w:val="center"/>
          </w:tcPr>
          <w:p>
            <w:r>
              <w:rPr>
                <w:b w:val="false"/>
                <w:bCs w:val="false"/>
                <w:color w:val="262626"/>
                <w:sz w:val="19"/>
                <w:szCs w:val="19"/>
              </w:rPr>
              <w:t xml:space="preserve">Chief Information Officer</w:t>
            </w:r>
          </w:p>
        </w:tc>
        <w:tc>
          <w:tcPr>
            <w:tcW w:type="dxa" w:w="2200"/>
            <w:tcMar>
              <w:top w:type="dxa" w:w="80"/>
              <w:left w:type="dxa" w:w="100"/>
              <w:bottom w:type="dxa" w:w="80"/>
              <w:right w:type="dxa" w:w="100"/>
            </w:tcMar>
            <w:vAlign w:val="center"/>
          </w:tcPr>
          <w:p>
            <w:r>
              <w:rPr>
                <w:b w:val="false"/>
                <w:bCs w:val="false"/>
                <w:color w:val="262626"/>
                <w:sz w:val="19"/>
                <w:szCs w:val="19"/>
              </w:rPr>
              <w:t xml:space="preserve">IT</w:t>
            </w:r>
          </w:p>
        </w:tc>
        <w:tc>
          <w:tcPr>
            <w:tcW w:type="dxa" w:w="2440"/>
            <w:tcMar>
              <w:top w:type="dxa" w:w="80"/>
              <w:left w:type="dxa" w:w="100"/>
              <w:bottom w:type="dxa" w:w="80"/>
              <w:right w:type="dxa" w:w="100"/>
            </w:tcMar>
            <w:vAlign w:val="center"/>
          </w:tcPr>
          <w:p>
            <w:r>
              <w:rPr>
                <w:b w:val="false"/>
                <w:bCs w:val="false"/>
                <w:color w:val="262626"/>
                <w:sz w:val="19"/>
                <w:szCs w:val="19"/>
              </w:rPr>
              <w:t xml:space="preserve">Technical feasibility, architecture, security</w:t>
            </w:r>
          </w:p>
        </w:tc>
      </w:tr>
      <w:tr>
        <w:tc>
          <w:tcPr>
            <w:tcW w:type="dxa" w:w="2200"/>
            <w:tcMar>
              <w:top w:type="dxa" w:w="80"/>
              <w:left w:type="dxa" w:w="100"/>
              <w:bottom w:type="dxa" w:w="80"/>
              <w:right w:type="dxa" w:w="100"/>
            </w:tcMar>
            <w:vAlign w:val="center"/>
          </w:tcPr>
          <w:p>
            <w:r>
              <w:rPr>
                <w:b/>
                <w:bCs/>
                <w:color w:val="262626"/>
                <w:sz w:val="19"/>
                <w:szCs w:val="19"/>
              </w:rPr>
              <w:t xml:space="preserve">Finance Representative</w:t>
            </w:r>
          </w:p>
        </w:tc>
        <w:tc>
          <w:tcPr>
            <w:tcW w:type="dxa" w:w="2600"/>
            <w:tcMar>
              <w:top w:type="dxa" w:w="80"/>
              <w:left w:type="dxa" w:w="100"/>
              <w:bottom w:type="dxa" w:w="80"/>
              <w:right w:type="dxa" w:w="100"/>
            </w:tcMar>
            <w:vAlign w:val="center"/>
          </w:tcPr>
          <w:p>
            <w:r>
              <w:rPr>
                <w:b w:val="false"/>
                <w:bCs w:val="false"/>
                <w:color w:val="262626"/>
                <w:sz w:val="19"/>
                <w:szCs w:val="19"/>
              </w:rPr>
              <w:t xml:space="preserve">Payroll &amp; Compensation Manager</w:t>
            </w:r>
          </w:p>
        </w:tc>
        <w:tc>
          <w:tcPr>
            <w:tcW w:type="dxa" w:w="2200"/>
            <w:tcMar>
              <w:top w:type="dxa" w:w="80"/>
              <w:left w:type="dxa" w:w="100"/>
              <w:bottom w:type="dxa" w:w="80"/>
              <w:right w:type="dxa" w:w="100"/>
            </w:tcMar>
            <w:vAlign w:val="center"/>
          </w:tcPr>
          <w:p>
            <w:r>
              <w:rPr>
                <w:b w:val="false"/>
                <w:bCs w:val="false"/>
                <w:color w:val="262626"/>
                <w:sz w:val="19"/>
                <w:szCs w:val="19"/>
              </w:rPr>
              <w:t xml:space="preserve">Finance</w:t>
            </w:r>
          </w:p>
        </w:tc>
        <w:tc>
          <w:tcPr>
            <w:tcW w:type="dxa" w:w="2440"/>
            <w:tcMar>
              <w:top w:type="dxa" w:w="80"/>
              <w:left w:type="dxa" w:w="100"/>
              <w:bottom w:type="dxa" w:w="80"/>
              <w:right w:type="dxa" w:w="100"/>
            </w:tcMar>
            <w:vAlign w:val="center"/>
          </w:tcPr>
          <w:p>
            <w:r>
              <w:rPr>
                <w:b w:val="false"/>
                <w:bCs w:val="false"/>
                <w:color w:val="262626"/>
                <w:sz w:val="19"/>
                <w:szCs w:val="19"/>
              </w:rPr>
              <w:t xml:space="preserve">Payroll accuracy, statutory compliance</w:t>
            </w:r>
          </w:p>
        </w:tc>
      </w:tr>
      <w:tr>
        <w:tc>
          <w:tcPr>
            <w:tcW w:type="dxa" w:w="2200"/>
            <w:tcMar>
              <w:top w:type="dxa" w:w="80"/>
              <w:left w:type="dxa" w:w="100"/>
              <w:bottom w:type="dxa" w:w="80"/>
              <w:right w:type="dxa" w:w="100"/>
            </w:tcMar>
            <w:vAlign w:val="center"/>
          </w:tcPr>
          <w:p>
            <w:r>
              <w:rPr>
                <w:b/>
                <w:bCs/>
                <w:color w:val="262626"/>
                <w:sz w:val="19"/>
                <w:szCs w:val="19"/>
              </w:rPr>
              <w:t xml:space="preserve">Legal / Compliance</w:t>
            </w:r>
          </w:p>
        </w:tc>
        <w:tc>
          <w:tcPr>
            <w:tcW w:type="dxa" w:w="2600"/>
            <w:tcMar>
              <w:top w:type="dxa" w:w="80"/>
              <w:left w:type="dxa" w:w="100"/>
              <w:bottom w:type="dxa" w:w="80"/>
              <w:right w:type="dxa" w:w="100"/>
            </w:tcMar>
            <w:vAlign w:val="center"/>
          </w:tcPr>
          <w:p>
            <w:r>
              <w:rPr>
                <w:b w:val="false"/>
                <w:bCs w:val="false"/>
                <w:color w:val="262626"/>
                <w:sz w:val="19"/>
                <w:szCs w:val="19"/>
              </w:rPr>
              <w:t xml:space="preserve">Compliance Officer</w:t>
            </w:r>
          </w:p>
        </w:tc>
        <w:tc>
          <w:tcPr>
            <w:tcW w:type="dxa" w:w="2200"/>
            <w:tcMar>
              <w:top w:type="dxa" w:w="80"/>
              <w:left w:type="dxa" w:w="100"/>
              <w:bottom w:type="dxa" w:w="80"/>
              <w:right w:type="dxa" w:w="100"/>
            </w:tcMar>
            <w:vAlign w:val="center"/>
          </w:tcPr>
          <w:p>
            <w:r>
              <w:rPr>
                <w:b w:val="false"/>
                <w:bCs w:val="false"/>
                <w:color w:val="262626"/>
                <w:sz w:val="19"/>
                <w:szCs w:val="19"/>
              </w:rPr>
              <w:t xml:space="preserve">Legal</w:t>
            </w:r>
          </w:p>
        </w:tc>
        <w:tc>
          <w:tcPr>
            <w:tcW w:type="dxa" w:w="2440"/>
            <w:tcMar>
              <w:top w:type="dxa" w:w="80"/>
              <w:left w:type="dxa" w:w="100"/>
              <w:bottom w:type="dxa" w:w="80"/>
              <w:right w:type="dxa" w:w="100"/>
            </w:tcMar>
            <w:vAlign w:val="center"/>
          </w:tcPr>
          <w:p>
            <w:r>
              <w:rPr>
                <w:b w:val="false"/>
                <w:bCs w:val="false"/>
                <w:color w:val="262626"/>
                <w:sz w:val="19"/>
                <w:szCs w:val="19"/>
              </w:rPr>
              <w:t xml:space="preserve">Data privacy and labor law compliance</w:t>
            </w:r>
          </w:p>
        </w:tc>
      </w:tr>
      <w:tr>
        <w:tc>
          <w:tcPr>
            <w:tcW w:type="dxa" w:w="2200"/>
            <w:tcMar>
              <w:top w:type="dxa" w:w="80"/>
              <w:left w:type="dxa" w:w="100"/>
              <w:bottom w:type="dxa" w:w="80"/>
              <w:right w:type="dxa" w:w="100"/>
            </w:tcMar>
            <w:vAlign w:val="center"/>
          </w:tcPr>
          <w:p>
            <w:r>
              <w:rPr>
                <w:b/>
                <w:bCs/>
                <w:color w:val="262626"/>
                <w:sz w:val="19"/>
                <w:szCs w:val="19"/>
              </w:rPr>
              <w:t xml:space="preserve">End Users</w:t>
            </w:r>
          </w:p>
        </w:tc>
        <w:tc>
          <w:tcPr>
            <w:tcW w:type="dxa" w:w="2600"/>
            <w:tcMar>
              <w:top w:type="dxa" w:w="80"/>
              <w:left w:type="dxa" w:w="100"/>
              <w:bottom w:type="dxa" w:w="80"/>
              <w:right w:type="dxa" w:w="100"/>
            </w:tcMar>
            <w:vAlign w:val="center"/>
          </w:tcPr>
          <w:p>
            <w:r>
              <w:rPr>
                <w:b w:val="false"/>
                <w:bCs w:val="false"/>
                <w:color w:val="262626"/>
                <w:sz w:val="19"/>
                <w:szCs w:val="19"/>
              </w:rPr>
              <w:t xml:space="preserve">Employees &amp; Line Managers</w:t>
            </w:r>
          </w:p>
        </w:tc>
        <w:tc>
          <w:tcPr>
            <w:tcW w:type="dxa" w:w="2200"/>
            <w:tcMar>
              <w:top w:type="dxa" w:w="80"/>
              <w:left w:type="dxa" w:w="100"/>
              <w:bottom w:type="dxa" w:w="80"/>
              <w:right w:type="dxa" w:w="100"/>
            </w:tcMar>
            <w:vAlign w:val="center"/>
          </w:tcPr>
          <w:p>
            <w:r>
              <w:rPr>
                <w:b w:val="false"/>
                <w:bCs w:val="false"/>
                <w:color w:val="262626"/>
                <w:sz w:val="19"/>
                <w:szCs w:val="19"/>
              </w:rPr>
              <w:t xml:space="preserve">All Departments</w:t>
            </w:r>
          </w:p>
        </w:tc>
        <w:tc>
          <w:tcPr>
            <w:tcW w:type="dxa" w:w="2440"/>
            <w:tcMar>
              <w:top w:type="dxa" w:w="80"/>
              <w:left w:type="dxa" w:w="100"/>
              <w:bottom w:type="dxa" w:w="80"/>
              <w:right w:type="dxa" w:w="100"/>
            </w:tcMar>
            <w:vAlign w:val="center"/>
          </w:tcPr>
          <w:p>
            <w:r>
              <w:rPr>
                <w:b w:val="false"/>
                <w:bCs w:val="false"/>
                <w:color w:val="262626"/>
                <w:sz w:val="19"/>
                <w:szCs w:val="19"/>
              </w:rPr>
              <w:t xml:space="preserve">Usability, self-service adoption</w:t>
            </w:r>
          </w:p>
        </w:tc>
      </w:tr>
      <w:tr>
        <w:tc>
          <w:tcPr>
            <w:tcW w:type="dxa" w:w="2200"/>
            <w:tcMar>
              <w:top w:type="dxa" w:w="80"/>
              <w:left w:type="dxa" w:w="100"/>
              <w:bottom w:type="dxa" w:w="80"/>
              <w:right w:type="dxa" w:w="100"/>
            </w:tcMar>
            <w:vAlign w:val="center"/>
          </w:tcPr>
          <w:p>
            <w:r>
              <w:rPr>
                <w:b/>
                <w:bCs/>
                <w:color w:val="262626"/>
                <w:sz w:val="19"/>
                <w:szCs w:val="19"/>
              </w:rPr>
              <w:t xml:space="preserve">Vendor / Implementation Partner</w:t>
            </w:r>
          </w:p>
        </w:tc>
        <w:tc>
          <w:tcPr>
            <w:tcW w:type="dxa" w:w="2600"/>
            <w:tcMar>
              <w:top w:type="dxa" w:w="80"/>
              <w:left w:type="dxa" w:w="100"/>
              <w:bottom w:type="dxa" w:w="80"/>
              <w:right w:type="dxa" w:w="100"/>
            </w:tcMar>
            <w:vAlign w:val="center"/>
          </w:tcPr>
          <w:p>
            <w:r>
              <w:rPr>
                <w:b w:val="false"/>
                <w:bCs w:val="false"/>
                <w:color w:val="262626"/>
                <w:sz w:val="19"/>
                <w:szCs w:val="19"/>
              </w:rPr>
              <w:t xml:space="preserve">Solution Provider</w:t>
            </w:r>
          </w:p>
        </w:tc>
        <w:tc>
          <w:tcPr>
            <w:tcW w:type="dxa" w:w="2200"/>
            <w:tcMar>
              <w:top w:type="dxa" w:w="80"/>
              <w:left w:type="dxa" w:w="100"/>
              <w:bottom w:type="dxa" w:w="80"/>
              <w:right w:type="dxa" w:w="100"/>
            </w:tcMar>
            <w:vAlign w:val="center"/>
          </w:tcPr>
          <w:p>
            <w:r>
              <w:rPr>
                <w:b w:val="false"/>
                <w:bCs w:val="false"/>
                <w:color w:val="262626"/>
                <w:sz w:val="19"/>
                <w:szCs w:val="19"/>
              </w:rPr>
              <w:t xml:space="preserve">External</w:t>
            </w:r>
          </w:p>
        </w:tc>
        <w:tc>
          <w:tcPr>
            <w:tcW w:type="dxa" w:w="2440"/>
            <w:tcMar>
              <w:top w:type="dxa" w:w="80"/>
              <w:left w:type="dxa" w:w="100"/>
              <w:bottom w:type="dxa" w:w="80"/>
              <w:right w:type="dxa" w:w="100"/>
            </w:tcMar>
            <w:vAlign w:val="center"/>
          </w:tcPr>
          <w:p>
            <w:r>
              <w:rPr>
                <w:b w:val="false"/>
                <w:bCs w:val="false"/>
                <w:color w:val="262626"/>
                <w:sz w:val="19"/>
                <w:szCs w:val="19"/>
              </w:rPr>
              <w:t xml:space="preserve">Delivery of the software solution</w:t>
            </w:r>
          </w:p>
        </w:tc>
      </w:tr>
    </w:tbl>
    <w:p>
      <w:pPr>
        <w:pStyle w:val="Heading1"/>
        <w:pBdr>
          <w:bottom w:val="single" w:color="2E74B5" w:sz="8" w:space="4"/>
        </w:pBdr>
        <w:spacing w:after="200" w:before="400"/>
      </w:pPr>
      <w:r>
        <w:rPr>
          <w:b/>
          <w:bCs/>
          <w:color w:val="1F3864"/>
          <w:sz w:val="28"/>
          <w:szCs w:val="28"/>
        </w:rPr>
        <w:t xml:space="preserve">6.  Current State Assessment and Problem Statement</w:t>
      </w:r>
    </w:p>
    <w:p>
      <w:pPr>
        <w:spacing w:after="160" w:line="276"/>
      </w:pPr>
      <w:r>
        <w:rPr>
          <w:color w:val="262626"/>
          <w:sz w:val="21"/>
          <w:szCs w:val="21"/>
        </w:rPr>
        <w:t xml:space="preserve">The current HR process landscape presents the following challenges, validated through stakeholder workshops and process observation:</w:t>
      </w:r>
    </w:p>
    <w:p>
      <w:pPr>
        <w:pStyle w:val="ListParagraph"/>
        <w:numPr>
          <w:ilvl w:val="0"/>
          <w:numId w:val="2"/>
        </w:numPr>
        <w:spacing w:after="80"/>
      </w:pPr>
      <w:r>
        <w:rPr>
          <w:color w:val="262626"/>
          <w:sz w:val="21"/>
          <w:szCs w:val="21"/>
        </w:rPr>
        <w:t xml:space="preserve">Employee data is maintained in multiple spreadsheets and legacy tools with no single source of truth, leading to discrepancies during audits and payroll runs.</w:t>
      </w:r>
    </w:p>
    <w:p>
      <w:pPr>
        <w:pStyle w:val="ListParagraph"/>
        <w:numPr>
          <w:ilvl w:val="0"/>
          <w:numId w:val="2"/>
        </w:numPr>
        <w:spacing w:after="80"/>
      </w:pPr>
      <w:r>
        <w:rPr>
          <w:color w:val="262626"/>
          <w:sz w:val="21"/>
          <w:szCs w:val="21"/>
        </w:rPr>
        <w:t xml:space="preserve">Leave and attendance are tracked manually or through a standalone biometric system with no integration to payroll, causing calculation errors and delayed salary disbursement.</w:t>
      </w:r>
    </w:p>
    <w:p>
      <w:pPr>
        <w:pStyle w:val="ListParagraph"/>
        <w:numPr>
          <w:ilvl w:val="0"/>
          <w:numId w:val="2"/>
        </w:numPr>
        <w:spacing w:after="80"/>
      </w:pPr>
      <w:r>
        <w:rPr>
          <w:color w:val="262626"/>
          <w:sz w:val="21"/>
          <w:szCs w:val="21"/>
        </w:rPr>
        <w:t xml:space="preserve">Recruitment is managed through email and spreadsheets, resulting in lost candidate data, inconsistent interview evaluation, and a long time-to-hire.</w:t>
      </w:r>
    </w:p>
    <w:p>
      <w:pPr>
        <w:pStyle w:val="ListParagraph"/>
        <w:numPr>
          <w:ilvl w:val="0"/>
          <w:numId w:val="2"/>
        </w:numPr>
        <w:spacing w:after="80"/>
      </w:pPr>
      <w:r>
        <w:rPr>
          <w:color w:val="262626"/>
          <w:sz w:val="21"/>
          <w:szCs w:val="21"/>
        </w:rPr>
        <w:t xml:space="preserve">Onboarding documentation (offer letters, statutory forms, policy acknowledgements) is paper-based, delaying new hire readiness.</w:t>
      </w:r>
    </w:p>
    <w:p>
      <w:pPr>
        <w:pStyle w:val="ListParagraph"/>
        <w:numPr>
          <w:ilvl w:val="0"/>
          <w:numId w:val="2"/>
        </w:numPr>
        <w:spacing w:after="80"/>
      </w:pPr>
      <w:r>
        <w:rPr>
          <w:color w:val="262626"/>
          <w:sz w:val="21"/>
          <w:szCs w:val="21"/>
        </w:rPr>
        <w:t xml:space="preserve">Performance appraisals are conducted annually via offline forms, with no visibility into goal progress throughout the year.</w:t>
      </w:r>
    </w:p>
    <w:p>
      <w:pPr>
        <w:pStyle w:val="ListParagraph"/>
        <w:numPr>
          <w:ilvl w:val="0"/>
          <w:numId w:val="2"/>
        </w:numPr>
        <w:spacing w:after="80"/>
      </w:pPr>
      <w:r>
        <w:rPr>
          <w:color w:val="262626"/>
          <w:sz w:val="21"/>
          <w:szCs w:val="21"/>
        </w:rPr>
        <w:t xml:space="preserve">HR has limited self-service reporting capability; most reports are prepared manually by the HR team on request, delaying decision-making.</w:t>
      </w:r>
    </w:p>
    <w:p>
      <w:pPr>
        <w:pStyle w:val="ListParagraph"/>
        <w:numPr>
          <w:ilvl w:val="0"/>
          <w:numId w:val="2"/>
        </w:numPr>
        <w:spacing w:after="80"/>
      </w:pPr>
      <w:r>
        <w:rPr>
          <w:color w:val="262626"/>
          <w:sz w:val="21"/>
          <w:szCs w:val="21"/>
        </w:rPr>
        <w:t xml:space="preserve">There is no centralized document repository for statutory and compliance records, creating audit and legal risk.</w:t>
      </w:r>
    </w:p>
    <w:p>
      <w:pPr>
        <w:pStyle w:val="Heading1"/>
        <w:pBdr>
          <w:bottom w:val="single" w:color="2E74B5" w:sz="8" w:space="4"/>
        </w:pBdr>
        <w:spacing w:after="200" w:before="400"/>
      </w:pPr>
      <w:r>
        <w:rPr>
          <w:b/>
          <w:bCs/>
          <w:color w:val="1F3864"/>
          <w:sz w:val="28"/>
          <w:szCs w:val="28"/>
        </w:rPr>
        <w:t xml:space="preserve">7.  Assumptions, Constraints, and Dependencies</w:t>
      </w:r>
    </w:p>
    <w:p>
      <w:pPr>
        <w:pStyle w:val="Heading2"/>
        <w:spacing w:after="120" w:before="260"/>
      </w:pPr>
      <w:r>
        <w:rPr>
          <w:b/>
          <w:bCs/>
          <w:color w:val="2E74B5"/>
          <w:sz w:val="24"/>
          <w:szCs w:val="24"/>
        </w:rPr>
        <w:t xml:space="preserve">6.1  Assumptions</w:t>
      </w:r>
    </w:p>
    <w:p>
      <w:pPr>
        <w:pStyle w:val="ListParagraph"/>
        <w:numPr>
          <w:ilvl w:val="0"/>
          <w:numId w:val="2"/>
        </w:numPr>
        <w:spacing w:after="80"/>
      </w:pPr>
      <w:r>
        <w:rPr>
          <w:color w:val="262626"/>
          <w:sz w:val="21"/>
          <w:szCs w:val="21"/>
        </w:rPr>
        <w:t xml:space="preserve">The organization will provide timely access to subject matter experts (SMEs) for requirement validation and UAT.</w:t>
      </w:r>
    </w:p>
    <w:p>
      <w:pPr>
        <w:pStyle w:val="ListParagraph"/>
        <w:numPr>
          <w:ilvl w:val="0"/>
          <w:numId w:val="2"/>
        </w:numPr>
        <w:spacing w:after="80"/>
      </w:pPr>
      <w:r>
        <w:rPr>
          <w:color w:val="262626"/>
          <w:sz w:val="21"/>
          <w:szCs w:val="21"/>
        </w:rPr>
        <w:t xml:space="preserve">Existing employee master data can be cleansed and made available for migration within the agreed project timeline.</w:t>
      </w:r>
    </w:p>
    <w:p>
      <w:pPr>
        <w:pStyle w:val="ListParagraph"/>
        <w:numPr>
          <w:ilvl w:val="0"/>
          <w:numId w:val="2"/>
        </w:numPr>
        <w:spacing w:after="80"/>
      </w:pPr>
      <w:r>
        <w:rPr>
          <w:color w:val="262626"/>
          <w:sz w:val="21"/>
          <w:szCs w:val="21"/>
        </w:rPr>
        <w:t xml:space="preserve">The selected solution will be a configurable commercial off-the-shelf (COTS) or SaaS platform rather than a fully custom build.</w:t>
      </w:r>
    </w:p>
    <w:p>
      <w:pPr>
        <w:pStyle w:val="ListParagraph"/>
        <w:numPr>
          <w:ilvl w:val="0"/>
          <w:numId w:val="2"/>
        </w:numPr>
        <w:spacing w:after="80"/>
      </w:pPr>
      <w:r>
        <w:rPr>
          <w:color w:val="262626"/>
          <w:sz w:val="21"/>
          <w:szCs w:val="21"/>
        </w:rPr>
        <w:t xml:space="preserve">Statutory/tax computation rules will be configured based on current regulations at the time of go-live and updated periodically thereafter.</w:t>
      </w:r>
    </w:p>
    <w:p>
      <w:pPr>
        <w:pStyle w:val="Heading2"/>
        <w:spacing w:after="120" w:before="260"/>
      </w:pPr>
      <w:r>
        <w:rPr>
          <w:b/>
          <w:bCs/>
          <w:color w:val="2E74B5"/>
          <w:sz w:val="24"/>
          <w:szCs w:val="24"/>
        </w:rPr>
        <w:t xml:space="preserve">6.2  Constraints</w:t>
      </w:r>
    </w:p>
    <w:p>
      <w:pPr>
        <w:pStyle w:val="ListParagraph"/>
        <w:numPr>
          <w:ilvl w:val="0"/>
          <w:numId w:val="2"/>
        </w:numPr>
        <w:spacing w:after="80"/>
      </w:pPr>
      <w:r>
        <w:rPr>
          <w:color w:val="262626"/>
          <w:sz w:val="21"/>
          <w:szCs w:val="21"/>
        </w:rPr>
        <w:t xml:space="preserve">The project budget and timeline are fixed as approved in the project charter; scope changes require formal change control.</w:t>
      </w:r>
    </w:p>
    <w:p>
      <w:pPr>
        <w:pStyle w:val="ListParagraph"/>
        <w:numPr>
          <w:ilvl w:val="0"/>
          <w:numId w:val="2"/>
        </w:numPr>
        <w:spacing w:after="80"/>
      </w:pPr>
      <w:r>
        <w:rPr>
          <w:color w:val="262626"/>
          <w:sz w:val="21"/>
          <w:szCs w:val="21"/>
        </w:rPr>
        <w:t xml:space="preserve">The solution must integrate with the existing Finance ERP General Ledger and the corporate Active Directory / SSO.</w:t>
      </w:r>
    </w:p>
    <w:p>
      <w:pPr>
        <w:pStyle w:val="ListParagraph"/>
        <w:numPr>
          <w:ilvl w:val="0"/>
          <w:numId w:val="2"/>
        </w:numPr>
        <w:spacing w:after="80"/>
      </w:pPr>
      <w:r>
        <w:rPr>
          <w:color w:val="262626"/>
          <w:sz w:val="21"/>
          <w:szCs w:val="21"/>
        </w:rPr>
        <w:t xml:space="preserve">Data residency and privacy requirements mandate that employee personal data be hosted in an approved regional data center.</w:t>
      </w:r>
    </w:p>
    <w:p>
      <w:pPr>
        <w:pStyle w:val="Heading2"/>
        <w:spacing w:after="120" w:before="260"/>
      </w:pPr>
      <w:r>
        <w:rPr>
          <w:b/>
          <w:bCs/>
          <w:color w:val="2E74B5"/>
          <w:sz w:val="24"/>
          <w:szCs w:val="24"/>
        </w:rPr>
        <w:t xml:space="preserve">6.3  Dependencies</w:t>
      </w:r>
    </w:p>
    <w:p>
      <w:pPr>
        <w:pStyle w:val="ListParagraph"/>
        <w:numPr>
          <w:ilvl w:val="0"/>
          <w:numId w:val="2"/>
        </w:numPr>
        <w:spacing w:after="80"/>
      </w:pPr>
      <w:r>
        <w:rPr>
          <w:color w:val="262626"/>
          <w:sz w:val="21"/>
          <w:szCs w:val="21"/>
        </w:rPr>
        <w:t xml:space="preserve">Timely completion of data cleansing and migration mapping by the HR Operations team.</w:t>
      </w:r>
    </w:p>
    <w:p>
      <w:pPr>
        <w:pStyle w:val="ListParagraph"/>
        <w:numPr>
          <w:ilvl w:val="0"/>
          <w:numId w:val="2"/>
        </w:numPr>
        <w:spacing w:after="80"/>
      </w:pPr>
      <w:r>
        <w:rPr>
          <w:color w:val="262626"/>
          <w:sz w:val="21"/>
          <w:szCs w:val="21"/>
        </w:rPr>
        <w:t xml:space="preserve">Availability of IT infrastructure/network team for integration and security review.</w:t>
      </w:r>
    </w:p>
    <w:p>
      <w:pPr>
        <w:pStyle w:val="ListParagraph"/>
        <w:numPr>
          <w:ilvl w:val="0"/>
          <w:numId w:val="2"/>
        </w:numPr>
        <w:spacing w:after="80"/>
      </w:pPr>
      <w:r>
        <w:rPr>
          <w:color w:val="262626"/>
          <w:sz w:val="21"/>
          <w:szCs w:val="21"/>
        </w:rPr>
        <w:t xml:space="preserve">Finalization of approval workflows and organizational hierarchy (org chart) prior to configuration.</w:t>
      </w:r>
    </w:p>
    <w:p>
      <w:pPr>
        <w:pStyle w:val="Heading1"/>
        <w:pBdr>
          <w:bottom w:val="single" w:color="2E74B5" w:sz="8" w:space="4"/>
        </w:pBdr>
        <w:spacing w:after="200" w:before="400"/>
      </w:pPr>
      <w:r>
        <w:rPr>
          <w:b/>
          <w:bCs/>
          <w:color w:val="1F3864"/>
          <w:sz w:val="28"/>
          <w:szCs w:val="28"/>
        </w:rPr>
        <w:t xml:space="preserve">8.  Functional Business Requirements</w:t>
      </w:r>
    </w:p>
    <w:p>
      <w:pPr>
        <w:spacing w:after="160" w:line="276"/>
      </w:pPr>
      <w:r>
        <w:rPr>
          <w:color w:val="262626"/>
          <w:sz w:val="21"/>
          <w:szCs w:val="21"/>
        </w:rPr>
        <w:t xml:space="preserve">Requirements are grouped by HR functional module. Priority is rated using MoSCoW: Must Have (M), Should Have (S), Could Have (C), Won't Have this phase (W).</w:t>
      </w:r>
    </w:p>
    <w:p>
      <w:pPr>
        <w:pStyle w:val="Heading2"/>
        <w:spacing w:after="120" w:before="260"/>
      </w:pPr>
      <w:r>
        <w:rPr>
          <w:b/>
          <w:bCs/>
          <w:color w:val="2E74B5"/>
          <w:sz w:val="24"/>
          <w:szCs w:val="24"/>
        </w:rPr>
        <w:t xml:space="preserve">8.1  Core HR / Employee Master Data Management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CHR-01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maintain a single, centralized employee master record covering personal, employment, statutory, and organizational data.</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CHR-02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organization structure setup including business unit, department, designation, and reporting hierarchy.</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CHR-03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maintain a complete audit trail of changes to employee master data, including who changed what and when.</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Compliance</w:t>
            </w:r>
          </w:p>
        </w:tc>
        <w:tc>
          <w:tcPr>
            <w:tcW w:type="dxa" w:w="1500"/>
            <w:tcMar>
              <w:top w:type="dxa" w:w="80"/>
              <w:left w:type="dxa" w:w="100"/>
              <w:bottom w:type="dxa" w:w="80"/>
              <w:right w:type="dxa" w:w="100"/>
            </w:tcMar>
            <w:vAlign w:val="center"/>
          </w:tcPr>
          <w:p>
            <w:r>
              <w:rPr>
                <w:b w:val="false"/>
                <w:bCs w:val="false"/>
                <w:color w:val="262626"/>
                <w:sz w:val="19"/>
                <w:szCs w:val="19"/>
              </w:rPr>
              <w:t xml:space="preserve">Compliance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CHR-04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bulk import/export of employee data via templated file upload.</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CHR-05</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maintain document repository per employee (ID proofs, contracts, certificates) with access control.</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Compliance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CHR-06</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multiple employment types: permanent, contract, intern, and consultant.</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bl>
    <w:p>
      <w:pPr>
        <w:pStyle w:val="Heading2"/>
        <w:spacing w:after="120" w:before="260"/>
      </w:pPr>
      <w:r>
        <w:rPr>
          <w:b/>
          <w:bCs/>
          <w:color w:val="2E74B5"/>
          <w:sz w:val="24"/>
          <w:szCs w:val="24"/>
        </w:rPr>
        <w:t xml:space="preserve">8.2  Recruitment and Applicant Tracking</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REC-01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allow creation and approval of job requisitions with defined approval workflow.</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Talent Acquisition</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REC-02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posting of job openings to career site and third-party job boards.</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Talent Acquisition</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REC-03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track candidate pipeline stages from application through offer and rejection.</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Talent Acquisition</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REC-04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interview scheduling and structured evaluation/scorecards.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Talent Acquisition</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REC-05</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generate offer letters using configurable templates with e-signature capability.</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Talent Acquisition</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REC-06</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provide reporting on recruitment funnel metrics including time-to-hire and source of hire.</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Reporting</w:t>
            </w:r>
          </w:p>
        </w:tc>
        <w:tc>
          <w:tcPr>
            <w:tcW w:type="dxa" w:w="1500"/>
            <w:tcMar>
              <w:top w:type="dxa" w:w="80"/>
              <w:left w:type="dxa" w:w="100"/>
              <w:bottom w:type="dxa" w:w="80"/>
              <w:right w:type="dxa" w:w="100"/>
            </w:tcMar>
            <w:vAlign w:val="center"/>
          </w:tcPr>
          <w:p>
            <w:r>
              <w:rPr>
                <w:b w:val="false"/>
                <w:bCs w:val="false"/>
                <w:color w:val="262626"/>
                <w:sz w:val="19"/>
                <w:szCs w:val="19"/>
              </w:rPr>
              <w:t xml:space="preserve">HR Leadership</w:t>
            </w:r>
          </w:p>
        </w:tc>
      </w:tr>
    </w:tbl>
    <w:p>
      <w:pPr>
        <w:pStyle w:val="Heading2"/>
        <w:spacing w:after="120" w:before="260"/>
      </w:pPr>
      <w:r>
        <w:rPr>
          <w:b/>
          <w:bCs/>
          <w:color w:val="2E74B5"/>
          <w:sz w:val="24"/>
          <w:szCs w:val="24"/>
        </w:rPr>
        <w:t xml:space="preserve">8.3  Onboarding and Offboarding</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ONB-01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trigger a configurable onboarding checklist/workflow upon offer acceptance.</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ONB-02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enable new hires to complete statutory forms and policy acknowledgements digitally prior to day one.</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ONB-03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a structured resignation/termination workflow including clearance from IT, Finance, and Admin.</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ONB-04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generate full and final settlement (F&amp;F) calculation inputs upon exit approval.</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Finance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ONB-05</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capture exit interview feedback in a structured, reportable format.</w:t>
            </w:r>
          </w:p>
        </w:tc>
        <w:tc>
          <w:tcPr>
            <w:tcW w:type="dxa" w:w="1300"/>
            <w:tcMar>
              <w:top w:type="dxa" w:w="80"/>
              <w:left w:type="dxa" w:w="100"/>
              <w:bottom w:type="dxa" w:w="80"/>
              <w:right w:type="dxa" w:w="100"/>
            </w:tcMar>
            <w:vAlign w:val="center"/>
          </w:tcPr>
          <w:p>
            <w:r>
              <w:rPr>
                <w:b w:val="false"/>
                <w:bCs w:val="false"/>
                <w:color w:val="262626"/>
                <w:sz w:val="19"/>
                <w:szCs w:val="19"/>
              </w:rPr>
              <w:t xml:space="preserve">Could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bl>
    <w:p>
      <w:pPr>
        <w:pStyle w:val="Heading2"/>
        <w:spacing w:after="120" w:before="260"/>
      </w:pPr>
      <w:r>
        <w:rPr>
          <w:b/>
          <w:bCs/>
          <w:color w:val="2E74B5"/>
          <w:sz w:val="24"/>
          <w:szCs w:val="24"/>
        </w:rPr>
        <w:t xml:space="preserve">8.4  Time, Attendance, and Leave Management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TAL-01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capture attendance via biometric/swipe integration or manual check-in as configured per location.</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TAL-02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configurable leave types, accrual rules, and approval workflows by employee category and location.</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TAL-03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allow employees to apply for leave and view balances through self-service.</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Employees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TAL-04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shift scheduling and roster management for shift-based employees.</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Operations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TAL-05</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flag attendance exceptions (late arrival, early exit, absenteeism) for manager review.</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Line Managers</w:t>
            </w:r>
          </w:p>
        </w:tc>
      </w:tr>
    </w:tbl>
    <w:p>
      <w:pPr>
        <w:pStyle w:val="Heading2"/>
        <w:spacing w:after="120" w:before="260"/>
      </w:pPr>
      <w:r>
        <w:rPr>
          <w:b/>
          <w:bCs/>
          <w:color w:val="2E74B5"/>
          <w:sz w:val="24"/>
          <w:szCs w:val="24"/>
        </w:rPr>
        <w:t xml:space="preserve">8.5  Payroll and Statutory Compliance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PAY-01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calculate payroll based on attendance, leave, salary structure, and configurable earning/deduction components.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Finance/Payroll</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PAY-02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statutory compliance calculations (tax withholding, social security, and other mandated contributions) per current regulations.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Compliance</w:t>
            </w:r>
          </w:p>
        </w:tc>
        <w:tc>
          <w:tcPr>
            <w:tcW w:type="dxa" w:w="1500"/>
            <w:tcMar>
              <w:top w:type="dxa" w:w="80"/>
              <w:left w:type="dxa" w:w="100"/>
              <w:bottom w:type="dxa" w:w="80"/>
              <w:right w:type="dxa" w:w="100"/>
            </w:tcMar>
            <w:vAlign w:val="center"/>
          </w:tcPr>
          <w:p>
            <w:r>
              <w:rPr>
                <w:b w:val="false"/>
                <w:bCs w:val="false"/>
                <w:color w:val="262626"/>
                <w:sz w:val="19"/>
                <w:szCs w:val="19"/>
              </w:rPr>
              <w:t xml:space="preserve">Compliance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PAY-03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generate payslips accessible to employees via self-service.</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Employees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PAY-04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payroll bank file generation for direct salary disbursement.</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Integration</w:t>
            </w:r>
          </w:p>
        </w:tc>
        <w:tc>
          <w:tcPr>
            <w:tcW w:type="dxa" w:w="1500"/>
            <w:tcMar>
              <w:top w:type="dxa" w:w="80"/>
              <w:left w:type="dxa" w:w="100"/>
              <w:bottom w:type="dxa" w:w="80"/>
              <w:right w:type="dxa" w:w="100"/>
            </w:tcMar>
            <w:vAlign w:val="center"/>
          </w:tcPr>
          <w:p>
            <w:r>
              <w:rPr>
                <w:b w:val="false"/>
                <w:bCs w:val="false"/>
                <w:color w:val="262626"/>
                <w:sz w:val="19"/>
                <w:szCs w:val="19"/>
              </w:rPr>
              <w:t xml:space="preserve">Finance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PAY-05</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post payroll journal entries to the Finance General Ledger via integration.</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Integration</w:t>
            </w:r>
          </w:p>
        </w:tc>
        <w:tc>
          <w:tcPr>
            <w:tcW w:type="dxa" w:w="1500"/>
            <w:tcMar>
              <w:top w:type="dxa" w:w="80"/>
              <w:left w:type="dxa" w:w="100"/>
              <w:bottom w:type="dxa" w:w="80"/>
              <w:right w:type="dxa" w:w="100"/>
            </w:tcMar>
            <w:vAlign w:val="center"/>
          </w:tcPr>
          <w:p>
            <w:r>
              <w:rPr>
                <w:b w:val="false"/>
                <w:bCs w:val="false"/>
                <w:color w:val="262626"/>
                <w:sz w:val="19"/>
                <w:szCs w:val="19"/>
              </w:rPr>
              <w:t xml:space="preserve">Finance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PAY-06</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retain payroll history for a minimum of 7 years for audit purposes.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Compliance</w:t>
            </w:r>
          </w:p>
        </w:tc>
        <w:tc>
          <w:tcPr>
            <w:tcW w:type="dxa" w:w="1500"/>
            <w:tcMar>
              <w:top w:type="dxa" w:w="80"/>
              <w:left w:type="dxa" w:w="100"/>
              <w:bottom w:type="dxa" w:w="80"/>
              <w:right w:type="dxa" w:w="100"/>
            </w:tcMar>
            <w:vAlign w:val="center"/>
          </w:tcPr>
          <w:p>
            <w:r>
              <w:rPr>
                <w:b w:val="false"/>
                <w:bCs w:val="false"/>
                <w:color w:val="262626"/>
                <w:sz w:val="19"/>
                <w:szCs w:val="19"/>
              </w:rPr>
              <w:t xml:space="preserve">Compliance</w:t>
            </w:r>
          </w:p>
        </w:tc>
      </w:tr>
    </w:tbl>
    <w:p>
      <w:pPr>
        <w:pStyle w:val="Heading2"/>
        <w:spacing w:after="120" w:before="260"/>
      </w:pPr>
      <w:r>
        <w:rPr>
          <w:b/>
          <w:bCs/>
          <w:color w:val="2E74B5"/>
          <w:sz w:val="24"/>
          <w:szCs w:val="24"/>
        </w:rPr>
        <w:t xml:space="preserve">8.6  Performance Management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PMS-01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goal setting and cascading of objectives from organizational to individual level.</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Leadership</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PMS-02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configurable appraisal cycles including self-assessment, manager review, and calibration.</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PMS-03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provide continuous feedback and check-in capability between review cycles.</w:t>
            </w:r>
          </w:p>
        </w:tc>
        <w:tc>
          <w:tcPr>
            <w:tcW w:type="dxa" w:w="1300"/>
            <w:tcMar>
              <w:top w:type="dxa" w:w="80"/>
              <w:left w:type="dxa" w:w="100"/>
              <w:bottom w:type="dxa" w:w="80"/>
              <w:right w:type="dxa" w:w="100"/>
            </w:tcMar>
            <w:vAlign w:val="center"/>
          </w:tcPr>
          <w:p>
            <w:r>
              <w:rPr>
                <w:b w:val="false"/>
                <w:bCs w:val="false"/>
                <w:color w:val="262626"/>
                <w:sz w:val="19"/>
                <w:szCs w:val="19"/>
              </w:rPr>
              <w:t xml:space="preserve">Could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Employees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PMS-04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link performance ratings to compensation review workflows.</w:t>
            </w:r>
          </w:p>
        </w:tc>
        <w:tc>
          <w:tcPr>
            <w:tcW w:type="dxa" w:w="1300"/>
            <w:tcMar>
              <w:top w:type="dxa" w:w="80"/>
              <w:left w:type="dxa" w:w="100"/>
              <w:bottom w:type="dxa" w:w="80"/>
              <w:right w:type="dxa" w:w="100"/>
            </w:tcMar>
            <w:vAlign w:val="center"/>
          </w:tcPr>
          <w:p>
            <w:r>
              <w:rPr>
                <w:b w:val="false"/>
                <w:bCs w:val="false"/>
                <w:color w:val="262626"/>
                <w:sz w:val="19"/>
                <w:szCs w:val="19"/>
              </w:rPr>
              <w:t xml:space="preserve">Could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Finance/HR</w:t>
            </w:r>
          </w:p>
        </w:tc>
      </w:tr>
    </w:tbl>
    <w:p>
      <w:pPr>
        <w:pStyle w:val="Heading2"/>
        <w:spacing w:after="120" w:before="260"/>
      </w:pPr>
      <w:r>
        <w:rPr>
          <w:b/>
          <w:bCs/>
          <w:color w:val="2E74B5"/>
          <w:sz w:val="24"/>
          <w:szCs w:val="24"/>
        </w:rPr>
        <w:t xml:space="preserve">8.7  Learning and Development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LND-01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maintain a training calendar and allow employees to enroll in available programs.</w:t>
            </w:r>
          </w:p>
        </w:tc>
        <w:tc>
          <w:tcPr>
            <w:tcW w:type="dxa" w:w="1300"/>
            <w:tcMar>
              <w:top w:type="dxa" w:w="80"/>
              <w:left w:type="dxa" w:w="100"/>
              <w:bottom w:type="dxa" w:w="80"/>
              <w:right w:type="dxa" w:w="100"/>
            </w:tcMar>
            <w:vAlign w:val="center"/>
          </w:tcPr>
          <w:p>
            <w:r>
              <w:rPr>
                <w:b w:val="false"/>
                <w:bCs w:val="false"/>
                <w:color w:val="262626"/>
                <w:sz w:val="19"/>
                <w:szCs w:val="19"/>
              </w:rPr>
              <w:t xml:space="preserve">Could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L&amp;D</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LND-02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track completion of mandatory compliance training with reminders and escalations.</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Compliance</w:t>
            </w:r>
          </w:p>
        </w:tc>
        <w:tc>
          <w:tcPr>
            <w:tcW w:type="dxa" w:w="1500"/>
            <w:tcMar>
              <w:top w:type="dxa" w:w="80"/>
              <w:left w:type="dxa" w:w="100"/>
              <w:bottom w:type="dxa" w:w="80"/>
              <w:right w:type="dxa" w:w="100"/>
            </w:tcMar>
            <w:vAlign w:val="center"/>
          </w:tcPr>
          <w:p>
            <w:r>
              <w:rPr>
                <w:b w:val="false"/>
                <w:bCs w:val="false"/>
                <w:color w:val="262626"/>
                <w:sz w:val="19"/>
                <w:szCs w:val="19"/>
              </w:rPr>
              <w:t xml:space="preserve">Compliance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LND-03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maintain a skills/competency repository per employee.</w:t>
            </w:r>
          </w:p>
        </w:tc>
        <w:tc>
          <w:tcPr>
            <w:tcW w:type="dxa" w:w="1300"/>
            <w:tcMar>
              <w:top w:type="dxa" w:w="80"/>
              <w:left w:type="dxa" w:w="100"/>
              <w:bottom w:type="dxa" w:w="80"/>
              <w:right w:type="dxa" w:w="100"/>
            </w:tcMar>
            <w:vAlign w:val="center"/>
          </w:tcPr>
          <w:p>
            <w:r>
              <w:rPr>
                <w:b w:val="false"/>
                <w:bCs w:val="false"/>
                <w:color w:val="262626"/>
                <w:sz w:val="19"/>
                <w:szCs w:val="19"/>
              </w:rPr>
              <w:t xml:space="preserve">Could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L&amp;D</w:t>
            </w:r>
          </w:p>
        </w:tc>
      </w:tr>
    </w:tbl>
    <w:p>
      <w:pPr>
        <w:pStyle w:val="Heading2"/>
        <w:spacing w:after="120" w:before="260"/>
      </w:pPr>
      <w:r>
        <w:rPr>
          <w:b/>
          <w:bCs/>
          <w:color w:val="2E74B5"/>
          <w:sz w:val="24"/>
          <w:szCs w:val="24"/>
        </w:rPr>
        <w:t xml:space="preserve">8.8  Employee and Manager Self-Service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ESS-01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provide a self-service portal for employees to view/update personal data, payslips, and tax declarations.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Employees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ESS-02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provide a manager dashboard for team attendance, leave approvals, and performance status.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Line Managers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ESS-03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be accessible via responsive web browser on desktop and mobile devices.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Non-functional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Employees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ESS-04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push/email notifications for pending approvals and important HR announcements.</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Functional</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bl>
    <w:p>
      <w:pPr>
        <w:pStyle w:val="Heading2"/>
        <w:spacing w:after="120" w:before="260"/>
      </w:pPr>
      <w:r>
        <w:rPr>
          <w:b/>
          <w:bCs/>
          <w:color w:val="2E74B5"/>
          <w:sz w:val="24"/>
          <w:szCs w:val="24"/>
        </w:rPr>
        <w:t xml:space="preserve">8.9  Reporting and Analytics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RPT-01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provide pre-built standard reports for headcount, attrition, leave, and payroll.</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Reporting</w:t>
            </w:r>
          </w:p>
        </w:tc>
        <w:tc>
          <w:tcPr>
            <w:tcW w:type="dxa" w:w="1500"/>
            <w:tcMar>
              <w:top w:type="dxa" w:w="80"/>
              <w:left w:type="dxa" w:w="100"/>
              <w:bottom w:type="dxa" w:w="80"/>
              <w:right w:type="dxa" w:w="100"/>
            </w:tcMar>
            <w:vAlign w:val="center"/>
          </w:tcPr>
          <w:p>
            <w:r>
              <w:rPr>
                <w:b w:val="false"/>
                <w:bCs w:val="false"/>
                <w:color w:val="262626"/>
                <w:sz w:val="19"/>
                <w:szCs w:val="19"/>
              </w:rPr>
              <w:t xml:space="preserve">HR Leadership</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RPT-02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provide a configurable dashboard with drill-down capability for HR leadership.</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Reporting</w:t>
            </w:r>
          </w:p>
        </w:tc>
        <w:tc>
          <w:tcPr>
            <w:tcW w:type="dxa" w:w="1500"/>
            <w:tcMar>
              <w:top w:type="dxa" w:w="80"/>
              <w:left w:type="dxa" w:w="100"/>
              <w:bottom w:type="dxa" w:w="80"/>
              <w:right w:type="dxa" w:w="100"/>
            </w:tcMar>
            <w:vAlign w:val="center"/>
          </w:tcPr>
          <w:p>
            <w:r>
              <w:rPr>
                <w:b w:val="false"/>
                <w:bCs w:val="false"/>
                <w:color w:val="262626"/>
                <w:sz w:val="19"/>
                <w:szCs w:val="19"/>
              </w:rPr>
              <w:t xml:space="preserve">HR Leadership</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RPT-03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allow authorized users to build and export custom reports without IT dependency.</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Reporting</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RPT-04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scheduled automated distribution of key reports via email.</w:t>
            </w:r>
          </w:p>
        </w:tc>
        <w:tc>
          <w:tcPr>
            <w:tcW w:type="dxa" w:w="1300"/>
            <w:tcMar>
              <w:top w:type="dxa" w:w="80"/>
              <w:left w:type="dxa" w:w="100"/>
              <w:bottom w:type="dxa" w:w="80"/>
              <w:right w:type="dxa" w:w="100"/>
            </w:tcMar>
            <w:vAlign w:val="center"/>
          </w:tcPr>
          <w:p>
            <w:r>
              <w:rPr>
                <w:b w:val="false"/>
                <w:bCs w:val="false"/>
                <w:color w:val="262626"/>
                <w:sz w:val="19"/>
                <w:szCs w:val="19"/>
              </w:rPr>
              <w:t xml:space="preserve">Could</w:t>
            </w:r>
          </w:p>
        </w:tc>
        <w:tc>
          <w:tcPr>
            <w:tcW w:type="dxa" w:w="1440"/>
            <w:tcMar>
              <w:top w:type="dxa" w:w="80"/>
              <w:left w:type="dxa" w:w="100"/>
              <w:bottom w:type="dxa" w:w="80"/>
              <w:right w:type="dxa" w:w="100"/>
            </w:tcMar>
            <w:vAlign w:val="center"/>
          </w:tcPr>
          <w:p>
            <w:r>
              <w:rPr>
                <w:b w:val="false"/>
                <w:bCs w:val="false"/>
                <w:color w:val="262626"/>
                <w:sz w:val="19"/>
                <w:szCs w:val="19"/>
              </w:rPr>
              <w:t xml:space="preserve">Reporting</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bl>
    <w:p>
      <w:pPr>
        <w:pStyle w:val="Heading2"/>
        <w:spacing w:after="120" w:before="260"/>
      </w:pPr>
      <w:r>
        <w:rPr>
          <w:b/>
          <w:bCs/>
          <w:color w:val="2E74B5"/>
          <w:sz w:val="24"/>
          <w:szCs w:val="24"/>
        </w:rPr>
        <w:t xml:space="preserve">8.10  Integrations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INT-01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integrate with corporate Active Directory / SSO for authentication.</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Integration</w:t>
            </w:r>
          </w:p>
        </w:tc>
        <w:tc>
          <w:tcPr>
            <w:tcW w:type="dxa" w:w="1500"/>
            <w:tcMar>
              <w:top w:type="dxa" w:w="80"/>
              <w:left w:type="dxa" w:w="100"/>
              <w:bottom w:type="dxa" w:w="80"/>
              <w:right w:type="dxa" w:w="100"/>
            </w:tcMar>
            <w:vAlign w:val="center"/>
          </w:tcPr>
          <w:p>
            <w:r>
              <w:rPr>
                <w:b w:val="false"/>
                <w:bCs w:val="false"/>
                <w:color w:val="262626"/>
                <w:sz w:val="19"/>
                <w:szCs w:val="19"/>
              </w:rPr>
              <w:t xml:space="preserve">IT</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INT-02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integrate with biometric/access control devices for attendance capture.</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Integration</w:t>
            </w:r>
          </w:p>
        </w:tc>
        <w:tc>
          <w:tcPr>
            <w:tcW w:type="dxa" w:w="1500"/>
            <w:tcMar>
              <w:top w:type="dxa" w:w="80"/>
              <w:left w:type="dxa" w:w="100"/>
              <w:bottom w:type="dxa" w:w="80"/>
              <w:right w:type="dxa" w:w="100"/>
            </w:tcMar>
            <w:vAlign w:val="center"/>
          </w:tcPr>
          <w:p>
            <w:r>
              <w:rPr>
                <w:b w:val="false"/>
                <w:bCs w:val="false"/>
                <w:color w:val="262626"/>
                <w:sz w:val="19"/>
                <w:szCs w:val="19"/>
              </w:rPr>
              <w:t xml:space="preserve">IT</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INT-03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integrate with the Finance ERP for GL posting and vendor/bank master data.</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Integration</w:t>
            </w:r>
          </w:p>
        </w:tc>
        <w:tc>
          <w:tcPr>
            <w:tcW w:type="dxa" w:w="1500"/>
            <w:tcMar>
              <w:top w:type="dxa" w:w="80"/>
              <w:left w:type="dxa" w:w="100"/>
              <w:bottom w:type="dxa" w:w="80"/>
              <w:right w:type="dxa" w:w="100"/>
            </w:tcMar>
            <w:vAlign w:val="center"/>
          </w:tcPr>
          <w:p>
            <w:r>
              <w:rPr>
                <w:b w:val="false"/>
                <w:bCs w:val="false"/>
                <w:color w:val="262626"/>
                <w:sz w:val="19"/>
                <w:szCs w:val="19"/>
              </w:rPr>
              <w:t xml:space="preserve">Finance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INT-04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expose secure APIs for future integration with third-party benefits and insurance providers.</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Integration</w:t>
            </w:r>
          </w:p>
        </w:tc>
        <w:tc>
          <w:tcPr>
            <w:tcW w:type="dxa" w:w="1500"/>
            <w:tcMar>
              <w:top w:type="dxa" w:w="80"/>
              <w:left w:type="dxa" w:w="100"/>
              <w:bottom w:type="dxa" w:w="80"/>
              <w:right w:type="dxa" w:w="100"/>
            </w:tcMar>
            <w:vAlign w:val="center"/>
          </w:tcPr>
          <w:p>
            <w:r>
              <w:rPr>
                <w:b w:val="false"/>
                <w:bCs w:val="false"/>
                <w:color w:val="262626"/>
                <w:sz w:val="19"/>
                <w:szCs w:val="19"/>
              </w:rPr>
              <w:t xml:space="preserve">IT</w:t>
            </w:r>
          </w:p>
        </w:tc>
      </w:tr>
    </w:tbl>
    <w:p>
      <w:pPr>
        <w:pStyle w:val="Heading1"/>
        <w:pBdr>
          <w:bottom w:val="single" w:color="2E74B5" w:sz="8" w:space="4"/>
        </w:pBdr>
        <w:spacing w:after="200" w:before="400"/>
      </w:pPr>
      <w:r>
        <w:rPr>
          <w:b/>
          <w:bCs/>
          <w:color w:val="1F3864"/>
          <w:sz w:val="28"/>
          <w:szCs w:val="28"/>
        </w:rPr>
        <w:t xml:space="preserve">9.  Non-Functional Requirements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440"/>
        <w:gridCol w:w="1500"/>
      </w:tblGrid>
      <w:tr>
        <w:tc>
          <w:tcPr>
            <w:tcW w:type="dxa" w:w="1000"/>
            <w:shd w:fill="1F3864" w:val="clear"/>
            <w:tcMar>
              <w:top w:type="dxa" w:w="80"/>
              <w:left w:type="dxa" w:w="100"/>
              <w:bottom w:type="dxa" w:w="80"/>
              <w:right w:type="dxa" w:w="100"/>
            </w:tcMar>
            <w:vAlign w:val="center"/>
          </w:tcPr>
          <w:p>
            <w:r>
              <w:rPr>
                <w:b/>
                <w:bCs/>
                <w:color w:val="FFFFFF"/>
                <w:sz w:val="19"/>
                <w:szCs w:val="19"/>
              </w:rPr>
              <w:t xml:space="preserve">Req ID</w:t>
            </w:r>
          </w:p>
        </w:tc>
        <w:tc>
          <w:tcPr>
            <w:tcW w:type="dxa" w:w="4200"/>
            <w:shd w:fill="1F3864" w:val="clear"/>
            <w:tcMar>
              <w:top w:type="dxa" w:w="80"/>
              <w:left w:type="dxa" w:w="100"/>
              <w:bottom w:type="dxa" w:w="80"/>
              <w:right w:type="dxa" w:w="100"/>
            </w:tcMar>
            <w:vAlign w:val="center"/>
          </w:tcPr>
          <w:p>
            <w:r>
              <w:rPr>
                <w:b/>
                <w:bCs/>
                <w:color w:val="FFFFFF"/>
                <w:sz w:val="19"/>
                <w:szCs w:val="19"/>
              </w:rPr>
              <w:t xml:space="preserve">Requirement Description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Priority</w:t>
            </w:r>
          </w:p>
        </w:tc>
        <w:tc>
          <w:tcPr>
            <w:tcW w:type="dxa" w:w="144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1500"/>
            <w:shd w:fill="1F3864" w:val="clear"/>
            <w:tcMar>
              <w:top w:type="dxa" w:w="80"/>
              <w:left w:type="dxa" w:w="100"/>
              <w:bottom w:type="dxa" w:w="80"/>
              <w:right w:type="dxa" w:w="100"/>
            </w:tcMar>
            <w:vAlign w:val="center"/>
          </w:tcPr>
          <w:p>
            <w:r>
              <w:rPr>
                <w:b/>
                <w:bCs/>
                <w:color w:val="FFFFFF"/>
                <w:sz w:val="19"/>
                <w:szCs w:val="19"/>
              </w:rPr>
              <w:t xml:space="preserve">Source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NFR-01</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a minimum of 5,000 concurrent users without perceptible performance degradation.</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Performance</w:t>
            </w:r>
          </w:p>
        </w:tc>
        <w:tc>
          <w:tcPr>
            <w:tcW w:type="dxa" w:w="1500"/>
            <w:tcMar>
              <w:top w:type="dxa" w:w="80"/>
              <w:left w:type="dxa" w:w="100"/>
              <w:bottom w:type="dxa" w:w="80"/>
              <w:right w:type="dxa" w:w="100"/>
            </w:tcMar>
            <w:vAlign w:val="center"/>
          </w:tcPr>
          <w:p>
            <w:r>
              <w:rPr>
                <w:b w:val="false"/>
                <w:bCs w:val="false"/>
                <w:color w:val="262626"/>
                <w:sz w:val="19"/>
                <w:szCs w:val="19"/>
              </w:rPr>
              <w:t xml:space="preserve">IT</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NFR-02</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guarantee 99.5% uptime during business hours, excluding scheduled maintenance windows.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Availability</w:t>
            </w:r>
          </w:p>
        </w:tc>
        <w:tc>
          <w:tcPr>
            <w:tcW w:type="dxa" w:w="1500"/>
            <w:tcMar>
              <w:top w:type="dxa" w:w="80"/>
              <w:left w:type="dxa" w:w="100"/>
              <w:bottom w:type="dxa" w:w="80"/>
              <w:right w:type="dxa" w:w="100"/>
            </w:tcMar>
            <w:vAlign w:val="center"/>
          </w:tcPr>
          <w:p>
            <w:r>
              <w:rPr>
                <w:b w:val="false"/>
                <w:bCs w:val="false"/>
                <w:color w:val="262626"/>
                <w:sz w:val="19"/>
                <w:szCs w:val="19"/>
              </w:rPr>
              <w:t xml:space="preserve">IT</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NFR-03</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encrypt personal and sensitive employee data at rest and in transit.</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Security</w:t>
            </w:r>
          </w:p>
        </w:tc>
        <w:tc>
          <w:tcPr>
            <w:tcW w:type="dxa" w:w="1500"/>
            <w:tcMar>
              <w:top w:type="dxa" w:w="80"/>
              <w:left w:type="dxa" w:w="100"/>
              <w:bottom w:type="dxa" w:w="80"/>
              <w:right w:type="dxa" w:w="100"/>
            </w:tcMar>
            <w:vAlign w:val="center"/>
          </w:tcPr>
          <w:p>
            <w:r>
              <w:rPr>
                <w:b w:val="false"/>
                <w:bCs w:val="false"/>
                <w:color w:val="262626"/>
                <w:sz w:val="19"/>
                <w:szCs w:val="19"/>
              </w:rPr>
              <w:t xml:space="preserve">IT/Compliance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NFR-04</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implement role-based access control (RBAC) restricting data visibility based on job role and hierarchy.</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Security</w:t>
            </w:r>
          </w:p>
        </w:tc>
        <w:tc>
          <w:tcPr>
            <w:tcW w:type="dxa" w:w="1500"/>
            <w:tcMar>
              <w:top w:type="dxa" w:w="80"/>
              <w:left w:type="dxa" w:w="100"/>
              <w:bottom w:type="dxa" w:w="80"/>
              <w:right w:type="dxa" w:w="100"/>
            </w:tcMar>
            <w:vAlign w:val="center"/>
          </w:tcPr>
          <w:p>
            <w:r>
              <w:rPr>
                <w:b w:val="false"/>
                <w:bCs w:val="false"/>
                <w:color w:val="262626"/>
                <w:sz w:val="19"/>
                <w:szCs w:val="19"/>
              </w:rPr>
              <w:t xml:space="preserve">IT/Compliance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NFR-05</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comply with applicable data privacy regulations governing collection, storage, and processing of employee personal data.</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Compliance</w:t>
            </w:r>
          </w:p>
        </w:tc>
        <w:tc>
          <w:tcPr>
            <w:tcW w:type="dxa" w:w="1500"/>
            <w:tcMar>
              <w:top w:type="dxa" w:w="80"/>
              <w:left w:type="dxa" w:w="100"/>
              <w:bottom w:type="dxa" w:w="80"/>
              <w:right w:type="dxa" w:w="100"/>
            </w:tcMar>
            <w:vAlign w:val="center"/>
          </w:tcPr>
          <w:p>
            <w:r>
              <w:rPr>
                <w:b w:val="false"/>
                <w:bCs w:val="false"/>
                <w:color w:val="262626"/>
                <w:sz w:val="19"/>
                <w:szCs w:val="19"/>
              </w:rPr>
              <w:t xml:space="preserve">Legal/Compliance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NFR-06</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maintain a full audit log of data access and changes, retained for a minimum of 3 years.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Compliance</w:t>
            </w:r>
          </w:p>
        </w:tc>
        <w:tc>
          <w:tcPr>
            <w:tcW w:type="dxa" w:w="1500"/>
            <w:tcMar>
              <w:top w:type="dxa" w:w="80"/>
              <w:left w:type="dxa" w:w="100"/>
              <w:bottom w:type="dxa" w:w="80"/>
              <w:right w:type="dxa" w:w="100"/>
            </w:tcMar>
            <w:vAlign w:val="center"/>
          </w:tcPr>
          <w:p>
            <w:r>
              <w:rPr>
                <w:b w:val="false"/>
                <w:bCs w:val="false"/>
                <w:color w:val="262626"/>
                <w:sz w:val="19"/>
                <w:szCs w:val="19"/>
              </w:rPr>
              <w:t xml:space="preserve">Compliance</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NFR-07</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disaster recovery with a Recovery Point Objective (RPO) of 24 hours and Recovery Time Objective (RTO) of 8 hours.</w:t>
            </w:r>
          </w:p>
        </w:tc>
        <w:tc>
          <w:tcPr>
            <w:tcW w:type="dxa" w:w="1300"/>
            <w:tcMar>
              <w:top w:type="dxa" w:w="80"/>
              <w:left w:type="dxa" w:w="100"/>
              <w:bottom w:type="dxa" w:w="80"/>
              <w:right w:type="dxa" w:w="100"/>
            </w:tcMar>
            <w:vAlign w:val="center"/>
          </w:tcPr>
          <w:p>
            <w:r>
              <w:rPr>
                <w:b w:val="false"/>
                <w:bCs w:val="false"/>
                <w:color w:val="262626"/>
                <w:sz w:val="19"/>
                <w:szCs w:val="19"/>
              </w:rPr>
              <w:t xml:space="preserve">Must</w:t>
            </w:r>
          </w:p>
        </w:tc>
        <w:tc>
          <w:tcPr>
            <w:tcW w:type="dxa" w:w="1440"/>
            <w:tcMar>
              <w:top w:type="dxa" w:w="80"/>
              <w:left w:type="dxa" w:w="100"/>
              <w:bottom w:type="dxa" w:w="80"/>
              <w:right w:type="dxa" w:w="100"/>
            </w:tcMar>
            <w:vAlign w:val="center"/>
          </w:tcPr>
          <w:p>
            <w:r>
              <w:rPr>
                <w:b w:val="false"/>
                <w:bCs w:val="false"/>
                <w:color w:val="262626"/>
                <w:sz w:val="19"/>
                <w:szCs w:val="19"/>
              </w:rPr>
              <w:t xml:space="preserve">Reliability</w:t>
            </w:r>
          </w:p>
        </w:tc>
        <w:tc>
          <w:tcPr>
            <w:tcW w:type="dxa" w:w="1500"/>
            <w:tcMar>
              <w:top w:type="dxa" w:w="80"/>
              <w:left w:type="dxa" w:w="100"/>
              <w:bottom w:type="dxa" w:w="80"/>
              <w:right w:type="dxa" w:w="100"/>
            </w:tcMar>
            <w:vAlign w:val="center"/>
          </w:tcPr>
          <w:p>
            <w:r>
              <w:rPr>
                <w:b w:val="false"/>
                <w:bCs w:val="false"/>
                <w:color w:val="262626"/>
                <w:sz w:val="19"/>
                <w:szCs w:val="19"/>
              </w:rPr>
              <w:t xml:space="preserve">IT</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NFR-08</w:t>
            </w:r>
          </w:p>
        </w:tc>
        <w:tc>
          <w:tcPr>
            <w:tcW w:type="dxa" w:w="4200"/>
            <w:tcMar>
              <w:top w:type="dxa" w:w="80"/>
              <w:left w:type="dxa" w:w="100"/>
              <w:bottom w:type="dxa" w:w="80"/>
              <w:right w:type="dxa" w:w="100"/>
            </w:tcMar>
            <w:vAlign w:val="center"/>
          </w:tcPr>
          <w:p>
            <w:r>
              <w:rPr>
                <w:b w:val="false"/>
                <w:bCs w:val="false"/>
                <w:color w:val="262626"/>
                <w:sz w:val="19"/>
                <w:szCs w:val="19"/>
              </w:rPr>
              <w:t xml:space="preserve">System user interface shall be intuitive, requiring no more than 2 hours of training for standard employee self-service tasks.</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Usability</w:t>
            </w:r>
          </w:p>
        </w:tc>
        <w:tc>
          <w:tcPr>
            <w:tcW w:type="dxa" w:w="1500"/>
            <w:tcMar>
              <w:top w:type="dxa" w:w="80"/>
              <w:left w:type="dxa" w:w="100"/>
              <w:bottom w:type="dxa" w:w="80"/>
              <w:right w:type="dxa" w:w="100"/>
            </w:tcMar>
            <w:vAlign w:val="center"/>
          </w:tcPr>
          <w:p>
            <w:r>
              <w:rPr>
                <w:b w:val="false"/>
                <w:bCs w:val="false"/>
                <w:color w:val="262626"/>
                <w:sz w:val="19"/>
                <w:szCs w:val="19"/>
              </w:rPr>
              <w:t xml:space="preserve">HR Ops</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NFR-09</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support browser compatibility across current versions of Chrome, Edge, and Safari.</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Compatibility</w:t>
            </w:r>
          </w:p>
        </w:tc>
        <w:tc>
          <w:tcPr>
            <w:tcW w:type="dxa" w:w="1500"/>
            <w:tcMar>
              <w:top w:type="dxa" w:w="80"/>
              <w:left w:type="dxa" w:w="100"/>
              <w:bottom w:type="dxa" w:w="80"/>
              <w:right w:type="dxa" w:w="100"/>
            </w:tcMar>
            <w:vAlign w:val="center"/>
          </w:tcPr>
          <w:p>
            <w:r>
              <w:rPr>
                <w:b w:val="false"/>
                <w:bCs w:val="false"/>
                <w:color w:val="262626"/>
                <w:sz w:val="19"/>
                <w:szCs w:val="19"/>
              </w:rPr>
              <w:t xml:space="preserve">IT</w:t>
            </w:r>
          </w:p>
        </w:tc>
      </w:tr>
      <w:tr>
        <w:tc>
          <w:tcPr>
            <w:tcW w:type="dxa" w:w="1000"/>
            <w:tcMar>
              <w:top w:type="dxa" w:w="80"/>
              <w:left w:type="dxa" w:w="100"/>
              <w:bottom w:type="dxa" w:w="80"/>
              <w:right w:type="dxa" w:w="100"/>
            </w:tcMar>
            <w:vAlign w:val="center"/>
          </w:tcPr>
          <w:p>
            <w:r>
              <w:rPr>
                <w:b w:val="false"/>
                <w:bCs w:val="false"/>
                <w:color w:val="262626"/>
                <w:sz w:val="19"/>
                <w:szCs w:val="19"/>
              </w:rPr>
              <w:t xml:space="preserve">NFR-10</w:t>
            </w:r>
          </w:p>
        </w:tc>
        <w:tc>
          <w:tcPr>
            <w:tcW w:type="dxa" w:w="4200"/>
            <w:tcMar>
              <w:top w:type="dxa" w:w="80"/>
              <w:left w:type="dxa" w:w="100"/>
              <w:bottom w:type="dxa" w:w="80"/>
              <w:right w:type="dxa" w:w="100"/>
            </w:tcMar>
            <w:vAlign w:val="center"/>
          </w:tcPr>
          <w:p>
            <w:r>
              <w:rPr>
                <w:b w:val="false"/>
                <w:bCs w:val="false"/>
                <w:color w:val="262626"/>
                <w:sz w:val="19"/>
                <w:szCs w:val="19"/>
              </w:rPr>
              <w:t xml:space="preserve">System shall be scalable to accommodate 20% year-on-year headcount growth without architectural redesign.</w:t>
            </w:r>
          </w:p>
        </w:tc>
        <w:tc>
          <w:tcPr>
            <w:tcW w:type="dxa" w:w="1300"/>
            <w:tcMar>
              <w:top w:type="dxa" w:w="80"/>
              <w:left w:type="dxa" w:w="100"/>
              <w:bottom w:type="dxa" w:w="80"/>
              <w:right w:type="dxa" w:w="100"/>
            </w:tcMar>
            <w:vAlign w:val="center"/>
          </w:tcPr>
          <w:p>
            <w:r>
              <w:rPr>
                <w:b w:val="false"/>
                <w:bCs w:val="false"/>
                <w:color w:val="262626"/>
                <w:sz w:val="19"/>
                <w:szCs w:val="19"/>
              </w:rPr>
              <w:t xml:space="preserve">Should</w:t>
            </w:r>
          </w:p>
        </w:tc>
        <w:tc>
          <w:tcPr>
            <w:tcW w:type="dxa" w:w="1440"/>
            <w:tcMar>
              <w:top w:type="dxa" w:w="80"/>
              <w:left w:type="dxa" w:w="100"/>
              <w:bottom w:type="dxa" w:w="80"/>
              <w:right w:type="dxa" w:w="100"/>
            </w:tcMar>
            <w:vAlign w:val="center"/>
          </w:tcPr>
          <w:p>
            <w:r>
              <w:rPr>
                <w:b w:val="false"/>
                <w:bCs w:val="false"/>
                <w:color w:val="262626"/>
                <w:sz w:val="19"/>
                <w:szCs w:val="19"/>
              </w:rPr>
              <w:t xml:space="preserve">Scalability</w:t>
            </w:r>
          </w:p>
        </w:tc>
        <w:tc>
          <w:tcPr>
            <w:tcW w:type="dxa" w:w="1500"/>
            <w:tcMar>
              <w:top w:type="dxa" w:w="80"/>
              <w:left w:type="dxa" w:w="100"/>
              <w:bottom w:type="dxa" w:w="80"/>
              <w:right w:type="dxa" w:w="100"/>
            </w:tcMar>
            <w:vAlign w:val="center"/>
          </w:tcPr>
          <w:p>
            <w:r>
              <w:rPr>
                <w:b w:val="false"/>
                <w:bCs w:val="false"/>
                <w:color w:val="262626"/>
                <w:sz w:val="19"/>
                <w:szCs w:val="19"/>
              </w:rPr>
              <w:t xml:space="preserve">IT</w:t>
            </w:r>
          </w:p>
        </w:tc>
      </w:tr>
    </w:tbl>
    <w:p>
      <w:pPr>
        <w:pStyle w:val="Heading1"/>
        <w:pBdr>
          <w:bottom w:val="single" w:color="2E74B5" w:sz="8" w:space="4"/>
        </w:pBdr>
        <w:spacing w:after="200" w:before="400"/>
      </w:pPr>
      <w:r>
        <w:rPr>
          <w:b/>
          <w:bCs/>
          <w:color w:val="1F3864"/>
          <w:sz w:val="28"/>
          <w:szCs w:val="28"/>
        </w:rPr>
        <w:t xml:space="preserve">10.  Data Migration Requirements</w:t>
      </w:r>
    </w:p>
    <w:p>
      <w:pPr>
        <w:pStyle w:val="ListParagraph"/>
        <w:numPr>
          <w:ilvl w:val="0"/>
          <w:numId w:val="2"/>
        </w:numPr>
        <w:spacing w:after="80"/>
      </w:pPr>
      <w:r>
        <w:rPr>
          <w:color w:val="262626"/>
          <w:sz w:val="21"/>
          <w:szCs w:val="21"/>
        </w:rPr>
        <w:t xml:space="preserve">All active employee master records shall be migrated from the legacy systems/spreadsheets with 100% accuracy, validated through reconciliation reports.</w:t>
      </w:r>
    </w:p>
    <w:p>
      <w:pPr>
        <w:pStyle w:val="ListParagraph"/>
        <w:numPr>
          <w:ilvl w:val="0"/>
          <w:numId w:val="2"/>
        </w:numPr>
        <w:spacing w:after="80"/>
      </w:pPr>
      <w:r>
        <w:rPr>
          <w:color w:val="262626"/>
          <w:sz w:val="21"/>
          <w:szCs w:val="21"/>
        </w:rPr>
        <w:t xml:space="preserve">Historical payroll data for the trailing 3 years shall be migrated for audit and compliance continuity; older records shall remain archived and retrievable on demand.</w:t>
      </w:r>
    </w:p>
    <w:p>
      <w:pPr>
        <w:pStyle w:val="ListParagraph"/>
        <w:numPr>
          <w:ilvl w:val="0"/>
          <w:numId w:val="2"/>
        </w:numPr>
        <w:spacing w:after="80"/>
      </w:pPr>
      <w:r>
        <w:rPr>
          <w:color w:val="262626"/>
          <w:sz w:val="21"/>
          <w:szCs w:val="21"/>
        </w:rPr>
        <w:t xml:space="preserve">Leave balances as of the cutover date shall be migrated and reconciled with legacy records prior to go-live.</w:t>
      </w:r>
    </w:p>
    <w:p>
      <w:pPr>
        <w:pStyle w:val="ListParagraph"/>
        <w:numPr>
          <w:ilvl w:val="0"/>
          <w:numId w:val="2"/>
        </w:numPr>
        <w:spacing w:after="80"/>
      </w:pPr>
      <w:r>
        <w:rPr>
          <w:color w:val="262626"/>
          <w:sz w:val="21"/>
          <w:szCs w:val="21"/>
        </w:rPr>
        <w:t xml:space="preserve">A formal data cleansing exercise shall be completed by HR Operations prior to migration, with sign-off on data quality.</w:t>
      </w:r>
    </w:p>
    <w:p>
      <w:pPr>
        <w:pStyle w:val="Heading1"/>
        <w:pBdr>
          <w:bottom w:val="single" w:color="2E74B5" w:sz="8" w:space="4"/>
        </w:pBdr>
        <w:spacing w:after="200" w:before="400"/>
      </w:pPr>
      <w:r>
        <w:rPr>
          <w:b/>
          <w:bCs/>
          <w:color w:val="1F3864"/>
          <w:sz w:val="28"/>
          <w:szCs w:val="28"/>
        </w:rPr>
        <w:t xml:space="preserve">11.  Risks and Mitigation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640"/>
      </w:tblGrid>
      <w:tr>
        <w:tc>
          <w:tcPr>
            <w:tcW w:type="dxa" w:w="3400"/>
            <w:shd w:fill="1F3864" w:val="clear"/>
            <w:tcMar>
              <w:top w:type="dxa" w:w="80"/>
              <w:left w:type="dxa" w:w="100"/>
              <w:bottom w:type="dxa" w:w="80"/>
              <w:right w:type="dxa" w:w="100"/>
            </w:tcMar>
            <w:vAlign w:val="center"/>
          </w:tcPr>
          <w:p>
            <w:r>
              <w:rPr>
                <w:b/>
                <w:bCs/>
                <w:color w:val="FFFFFF"/>
                <w:sz w:val="19"/>
                <w:szCs w:val="19"/>
              </w:rPr>
              <w:t xml:space="preserve">Risk</w:t>
            </w:r>
          </w:p>
        </w:tc>
        <w:tc>
          <w:tcPr>
            <w:tcW w:type="dxa" w:w="1400"/>
            <w:shd w:fill="1F3864" w:val="clear"/>
            <w:tcMar>
              <w:top w:type="dxa" w:w="80"/>
              <w:left w:type="dxa" w:w="100"/>
              <w:bottom w:type="dxa" w:w="80"/>
              <w:right w:type="dxa" w:w="100"/>
            </w:tcMar>
            <w:vAlign w:val="center"/>
          </w:tcPr>
          <w:p>
            <w:r>
              <w:rPr>
                <w:b/>
                <w:bCs/>
                <w:color w:val="FFFFFF"/>
                <w:sz w:val="19"/>
                <w:szCs w:val="19"/>
              </w:rPr>
              <w:t xml:space="preserve">Impact</w:t>
            </w:r>
          </w:p>
        </w:tc>
        <w:tc>
          <w:tcPr>
            <w:tcW w:type="dxa" w:w="4640"/>
            <w:shd w:fill="1F3864" w:val="clear"/>
            <w:tcMar>
              <w:top w:type="dxa" w:w="80"/>
              <w:left w:type="dxa" w:w="100"/>
              <w:bottom w:type="dxa" w:w="80"/>
              <w:right w:type="dxa" w:w="100"/>
            </w:tcMar>
            <w:vAlign w:val="center"/>
          </w:tcPr>
          <w:p>
            <w:r>
              <w:rPr>
                <w:b/>
                <w:bCs/>
                <w:color w:val="FFFFFF"/>
                <w:sz w:val="19"/>
                <w:szCs w:val="19"/>
              </w:rPr>
              <w:t xml:space="preserve">Mitigation</w:t>
            </w:r>
          </w:p>
        </w:tc>
      </w:tr>
      <w:tr>
        <w:tc>
          <w:tcPr>
            <w:tcW w:type="dxa" w:w="3400"/>
            <w:tcMar>
              <w:top w:type="dxa" w:w="80"/>
              <w:left w:type="dxa" w:w="100"/>
              <w:bottom w:type="dxa" w:w="80"/>
              <w:right w:type="dxa" w:w="100"/>
            </w:tcMar>
            <w:vAlign w:val="center"/>
          </w:tcPr>
          <w:p>
            <w:r>
              <w:rPr>
                <w:b w:val="false"/>
                <w:bCs w:val="false"/>
                <w:color w:val="262626"/>
                <w:sz w:val="19"/>
                <w:szCs w:val="19"/>
              </w:rPr>
              <w:t xml:space="preserve">Poor quality of legacy employee/payroll data</w:t>
            </w:r>
          </w:p>
        </w:tc>
        <w:tc>
          <w:tcPr>
            <w:tcW w:type="dxa" w:w="1400"/>
            <w:tcMar>
              <w:top w:type="dxa" w:w="80"/>
              <w:left w:type="dxa" w:w="100"/>
              <w:bottom w:type="dxa" w:w="80"/>
              <w:right w:type="dxa" w:w="100"/>
            </w:tcMar>
            <w:vAlign w:val="center"/>
          </w:tcPr>
          <w:p>
            <w:r>
              <w:rPr>
                <w:b w:val="false"/>
                <w:bCs w:val="false"/>
                <w:color w:val="262626"/>
                <w:sz w:val="19"/>
                <w:szCs w:val="19"/>
              </w:rPr>
              <w:t xml:space="preserve">High</w:t>
            </w:r>
          </w:p>
        </w:tc>
        <w:tc>
          <w:tcPr>
            <w:tcW w:type="dxa" w:w="4640"/>
            <w:tcMar>
              <w:top w:type="dxa" w:w="80"/>
              <w:left w:type="dxa" w:w="100"/>
              <w:bottom w:type="dxa" w:w="80"/>
              <w:right w:type="dxa" w:w="100"/>
            </w:tcMar>
            <w:vAlign w:val="center"/>
          </w:tcPr>
          <w:p>
            <w:r>
              <w:rPr>
                <w:b w:val="false"/>
                <w:bCs w:val="false"/>
                <w:color w:val="262626"/>
                <w:sz w:val="19"/>
                <w:szCs w:val="19"/>
              </w:rPr>
              <w:t xml:space="preserve">Early data audit and cleansing sprint before migration; assign data stewards per business unit</w:t>
            </w:r>
          </w:p>
        </w:tc>
      </w:tr>
      <w:tr>
        <w:tc>
          <w:tcPr>
            <w:tcW w:type="dxa" w:w="3400"/>
            <w:tcMar>
              <w:top w:type="dxa" w:w="80"/>
              <w:left w:type="dxa" w:w="100"/>
              <w:bottom w:type="dxa" w:w="80"/>
              <w:right w:type="dxa" w:w="100"/>
            </w:tcMar>
            <w:vAlign w:val="center"/>
          </w:tcPr>
          <w:p>
            <w:r>
              <w:rPr>
                <w:b w:val="false"/>
                <w:bCs w:val="false"/>
                <w:color w:val="262626"/>
                <w:sz w:val="19"/>
                <w:szCs w:val="19"/>
              </w:rPr>
              <w:t xml:space="preserve">Resistance to change from HR staff and employees</w:t>
            </w:r>
          </w:p>
        </w:tc>
        <w:tc>
          <w:tcPr>
            <w:tcW w:type="dxa" w:w="1400"/>
            <w:tcMar>
              <w:top w:type="dxa" w:w="80"/>
              <w:left w:type="dxa" w:w="100"/>
              <w:bottom w:type="dxa" w:w="80"/>
              <w:right w:type="dxa" w:w="100"/>
            </w:tcMar>
            <w:vAlign w:val="center"/>
          </w:tcPr>
          <w:p>
            <w:r>
              <w:rPr>
                <w:b w:val="false"/>
                <w:bCs w:val="false"/>
                <w:color w:val="262626"/>
                <w:sz w:val="19"/>
                <w:szCs w:val="19"/>
              </w:rPr>
              <w:t xml:space="preserve">Medium</w:t>
            </w:r>
          </w:p>
        </w:tc>
        <w:tc>
          <w:tcPr>
            <w:tcW w:type="dxa" w:w="4640"/>
            <w:tcMar>
              <w:top w:type="dxa" w:w="80"/>
              <w:left w:type="dxa" w:w="100"/>
              <w:bottom w:type="dxa" w:w="80"/>
              <w:right w:type="dxa" w:w="100"/>
            </w:tcMar>
            <w:vAlign w:val="center"/>
          </w:tcPr>
          <w:p>
            <w:r>
              <w:rPr>
                <w:b w:val="false"/>
                <w:bCs w:val="false"/>
                <w:color w:val="262626"/>
                <w:sz w:val="19"/>
                <w:szCs w:val="19"/>
              </w:rPr>
              <w:t xml:space="preserve">Structured change management plan, training, and phased rollout with champions network</w:t>
            </w:r>
          </w:p>
        </w:tc>
      </w:tr>
      <w:tr>
        <w:tc>
          <w:tcPr>
            <w:tcW w:type="dxa" w:w="3400"/>
            <w:tcMar>
              <w:top w:type="dxa" w:w="80"/>
              <w:left w:type="dxa" w:w="100"/>
              <w:bottom w:type="dxa" w:w="80"/>
              <w:right w:type="dxa" w:w="100"/>
            </w:tcMar>
            <w:vAlign w:val="center"/>
          </w:tcPr>
          <w:p>
            <w:r>
              <w:rPr>
                <w:b w:val="false"/>
                <w:bCs w:val="false"/>
                <w:color w:val="262626"/>
                <w:sz w:val="19"/>
                <w:szCs w:val="19"/>
              </w:rPr>
              <w:t xml:space="preserve">Payroll go-live errors impacting employee pay</w:t>
            </w:r>
          </w:p>
        </w:tc>
        <w:tc>
          <w:tcPr>
            <w:tcW w:type="dxa" w:w="1400"/>
            <w:tcMar>
              <w:top w:type="dxa" w:w="80"/>
              <w:left w:type="dxa" w:w="100"/>
              <w:bottom w:type="dxa" w:w="80"/>
              <w:right w:type="dxa" w:w="100"/>
            </w:tcMar>
            <w:vAlign w:val="center"/>
          </w:tcPr>
          <w:p>
            <w:r>
              <w:rPr>
                <w:b w:val="false"/>
                <w:bCs w:val="false"/>
                <w:color w:val="262626"/>
                <w:sz w:val="19"/>
                <w:szCs w:val="19"/>
              </w:rPr>
              <w:t xml:space="preserve">High</w:t>
            </w:r>
          </w:p>
        </w:tc>
        <w:tc>
          <w:tcPr>
            <w:tcW w:type="dxa" w:w="4640"/>
            <w:tcMar>
              <w:top w:type="dxa" w:w="80"/>
              <w:left w:type="dxa" w:w="100"/>
              <w:bottom w:type="dxa" w:w="80"/>
              <w:right w:type="dxa" w:w="100"/>
            </w:tcMar>
            <w:vAlign w:val="center"/>
          </w:tcPr>
          <w:p>
            <w:r>
              <w:rPr>
                <w:b w:val="false"/>
                <w:bCs w:val="false"/>
                <w:color w:val="262626"/>
                <w:sz w:val="19"/>
                <w:szCs w:val="19"/>
              </w:rPr>
              <w:t xml:space="preserve">Run parallel payroll for 1-2 cycles before full cutover; formal sign-off before go-live</w:t>
            </w:r>
          </w:p>
        </w:tc>
      </w:tr>
      <w:tr>
        <w:tc>
          <w:tcPr>
            <w:tcW w:type="dxa" w:w="3400"/>
            <w:tcMar>
              <w:top w:type="dxa" w:w="80"/>
              <w:left w:type="dxa" w:w="100"/>
              <w:bottom w:type="dxa" w:w="80"/>
              <w:right w:type="dxa" w:w="100"/>
            </w:tcMar>
            <w:vAlign w:val="center"/>
          </w:tcPr>
          <w:p>
            <w:r>
              <w:rPr>
                <w:b w:val="false"/>
                <w:bCs w:val="false"/>
                <w:color w:val="262626"/>
                <w:sz w:val="19"/>
                <w:szCs w:val="19"/>
              </w:rPr>
              <w:t xml:space="preserve">Integration delays with Finance ERP or biometric devices</w:t>
            </w:r>
          </w:p>
        </w:tc>
        <w:tc>
          <w:tcPr>
            <w:tcW w:type="dxa" w:w="1400"/>
            <w:tcMar>
              <w:top w:type="dxa" w:w="80"/>
              <w:left w:type="dxa" w:w="100"/>
              <w:bottom w:type="dxa" w:w="80"/>
              <w:right w:type="dxa" w:w="100"/>
            </w:tcMar>
            <w:vAlign w:val="center"/>
          </w:tcPr>
          <w:p>
            <w:r>
              <w:rPr>
                <w:b w:val="false"/>
                <w:bCs w:val="false"/>
                <w:color w:val="262626"/>
                <w:sz w:val="19"/>
                <w:szCs w:val="19"/>
              </w:rPr>
              <w:t xml:space="preserve">Medium</w:t>
            </w:r>
          </w:p>
        </w:tc>
        <w:tc>
          <w:tcPr>
            <w:tcW w:type="dxa" w:w="4640"/>
            <w:tcMar>
              <w:top w:type="dxa" w:w="80"/>
              <w:left w:type="dxa" w:w="100"/>
              <w:bottom w:type="dxa" w:w="80"/>
              <w:right w:type="dxa" w:w="100"/>
            </w:tcMar>
            <w:vAlign w:val="center"/>
          </w:tcPr>
          <w:p>
            <w:r>
              <w:rPr>
                <w:b w:val="false"/>
                <w:bCs w:val="false"/>
                <w:color w:val="262626"/>
                <w:sz w:val="19"/>
                <w:szCs w:val="19"/>
              </w:rPr>
              <w:t xml:space="preserve">Early technical discovery and integration testing in Phase 1 timeline</w:t>
            </w:r>
          </w:p>
        </w:tc>
      </w:tr>
      <w:tr>
        <w:tc>
          <w:tcPr>
            <w:tcW w:type="dxa" w:w="3400"/>
            <w:tcMar>
              <w:top w:type="dxa" w:w="80"/>
              <w:left w:type="dxa" w:w="100"/>
              <w:bottom w:type="dxa" w:w="80"/>
              <w:right w:type="dxa" w:w="100"/>
            </w:tcMar>
            <w:vAlign w:val="center"/>
          </w:tcPr>
          <w:p>
            <w:r>
              <w:rPr>
                <w:b w:val="false"/>
                <w:bCs w:val="false"/>
                <w:color w:val="262626"/>
                <w:sz w:val="19"/>
                <w:szCs w:val="19"/>
              </w:rPr>
              <w:t xml:space="preserve">Scope creep from department-specific customization requests</w:t>
            </w:r>
          </w:p>
        </w:tc>
        <w:tc>
          <w:tcPr>
            <w:tcW w:type="dxa" w:w="1400"/>
            <w:tcMar>
              <w:top w:type="dxa" w:w="80"/>
              <w:left w:type="dxa" w:w="100"/>
              <w:bottom w:type="dxa" w:w="80"/>
              <w:right w:type="dxa" w:w="100"/>
            </w:tcMar>
            <w:vAlign w:val="center"/>
          </w:tcPr>
          <w:p>
            <w:r>
              <w:rPr>
                <w:b w:val="false"/>
                <w:bCs w:val="false"/>
                <w:color w:val="262626"/>
                <w:sz w:val="19"/>
                <w:szCs w:val="19"/>
              </w:rPr>
              <w:t xml:space="preserve">Medium</w:t>
            </w:r>
          </w:p>
        </w:tc>
        <w:tc>
          <w:tcPr>
            <w:tcW w:type="dxa" w:w="4640"/>
            <w:tcMar>
              <w:top w:type="dxa" w:w="80"/>
              <w:left w:type="dxa" w:w="100"/>
              <w:bottom w:type="dxa" w:w="80"/>
              <w:right w:type="dxa" w:w="100"/>
            </w:tcMar>
            <w:vAlign w:val="center"/>
          </w:tcPr>
          <w:p>
            <w:r>
              <w:rPr>
                <w:b w:val="false"/>
                <w:bCs w:val="false"/>
                <w:color w:val="262626"/>
                <w:sz w:val="19"/>
                <w:szCs w:val="19"/>
              </w:rPr>
              <w:t xml:space="preserve">Formal change control process governed by the Project Steering Committee</w:t>
            </w:r>
          </w:p>
        </w:tc>
      </w:tr>
      <w:tr>
        <w:tc>
          <w:tcPr>
            <w:tcW w:type="dxa" w:w="3400"/>
            <w:tcMar>
              <w:top w:type="dxa" w:w="80"/>
              <w:left w:type="dxa" w:w="100"/>
              <w:bottom w:type="dxa" w:w="80"/>
              <w:right w:type="dxa" w:w="100"/>
            </w:tcMar>
            <w:vAlign w:val="center"/>
          </w:tcPr>
          <w:p>
            <w:r>
              <w:rPr>
                <w:b w:val="false"/>
                <w:bCs w:val="false"/>
                <w:color w:val="262626"/>
                <w:sz w:val="19"/>
                <w:szCs w:val="19"/>
              </w:rPr>
              <w:t xml:space="preserve">Regulatory/statutory rule changes during implementation</w:t>
            </w:r>
          </w:p>
        </w:tc>
        <w:tc>
          <w:tcPr>
            <w:tcW w:type="dxa" w:w="1400"/>
            <w:tcMar>
              <w:top w:type="dxa" w:w="80"/>
              <w:left w:type="dxa" w:w="100"/>
              <w:bottom w:type="dxa" w:w="80"/>
              <w:right w:type="dxa" w:w="100"/>
            </w:tcMar>
            <w:vAlign w:val="center"/>
          </w:tcPr>
          <w:p>
            <w:r>
              <w:rPr>
                <w:b w:val="false"/>
                <w:bCs w:val="false"/>
                <w:color w:val="262626"/>
                <w:sz w:val="19"/>
                <w:szCs w:val="19"/>
              </w:rPr>
              <w:t xml:space="preserve">Medium</w:t>
            </w:r>
          </w:p>
        </w:tc>
        <w:tc>
          <w:tcPr>
            <w:tcW w:type="dxa" w:w="4640"/>
            <w:tcMar>
              <w:top w:type="dxa" w:w="80"/>
              <w:left w:type="dxa" w:w="100"/>
              <w:bottom w:type="dxa" w:w="80"/>
              <w:right w:type="dxa" w:w="100"/>
            </w:tcMar>
            <w:vAlign w:val="center"/>
          </w:tcPr>
          <w:p>
            <w:r>
              <w:rPr>
                <w:b w:val="false"/>
                <w:bCs w:val="false"/>
                <w:color w:val="262626"/>
                <w:sz w:val="19"/>
                <w:szCs w:val="19"/>
              </w:rPr>
              <w:t xml:space="preserve">Maintain configurable rule engine; assign compliance owner to monitor regulatory updates</w:t>
            </w:r>
          </w:p>
        </w:tc>
      </w:tr>
    </w:tbl>
    <w:p>
      <w:pPr>
        <w:pStyle w:val="Heading1"/>
        <w:pBdr>
          <w:bottom w:val="single" w:color="2E74B5" w:sz="8" w:space="4"/>
        </w:pBdr>
        <w:spacing w:after="200" w:before="400"/>
      </w:pPr>
      <w:r>
        <w:rPr>
          <w:b/>
          <w:bCs/>
          <w:color w:val="1F3864"/>
          <w:sz w:val="28"/>
          <w:szCs w:val="28"/>
        </w:rPr>
        <w:t xml:space="preserve">12.  Success Criteria and Key Performance Indicators</w:t>
      </w:r>
    </w:p>
    <w:p>
      <w:pPr>
        <w:pStyle w:val="ListParagraph"/>
        <w:numPr>
          <w:ilvl w:val="0"/>
          <w:numId w:val="2"/>
        </w:numPr>
        <w:spacing w:after="80"/>
      </w:pPr>
      <w:r>
        <w:rPr>
          <w:color w:val="262626"/>
          <w:sz w:val="21"/>
          <w:szCs w:val="21"/>
        </w:rPr>
        <w:t xml:space="preserve">100% of active employee records migrated and validated in the new HRMS at go-live.</w:t>
      </w:r>
    </w:p>
    <w:p>
      <w:pPr>
        <w:pStyle w:val="ListParagraph"/>
        <w:numPr>
          <w:ilvl w:val="0"/>
          <w:numId w:val="2"/>
        </w:numPr>
        <w:spacing w:after="80"/>
      </w:pPr>
      <w:r>
        <w:rPr>
          <w:color w:val="262626"/>
          <w:sz w:val="21"/>
          <w:szCs w:val="21"/>
        </w:rPr>
        <w:t xml:space="preserve">Payroll processing cycle time reduced by at least 30% within 2 quarters post go-live.</w:t>
      </w:r>
    </w:p>
    <w:p>
      <w:pPr>
        <w:pStyle w:val="ListParagraph"/>
        <w:numPr>
          <w:ilvl w:val="0"/>
          <w:numId w:val="2"/>
        </w:numPr>
        <w:spacing w:after="80"/>
      </w:pPr>
      <w:r>
        <w:rPr>
          <w:color w:val="262626"/>
          <w:sz w:val="21"/>
          <w:szCs w:val="21"/>
        </w:rPr>
        <w:t xml:space="preserve">Payroll error/correction rate reduced to under 1% of total payslips per cycle.</w:t>
      </w:r>
    </w:p>
    <w:p>
      <w:pPr>
        <w:pStyle w:val="ListParagraph"/>
        <w:numPr>
          <w:ilvl w:val="0"/>
          <w:numId w:val="2"/>
        </w:numPr>
        <w:spacing w:after="80"/>
      </w:pPr>
      <w:r>
        <w:rPr>
          <w:color w:val="262626"/>
          <w:sz w:val="21"/>
          <w:szCs w:val="21"/>
        </w:rPr>
        <w:t xml:space="preserve">At least 90% of employees actively using self-service for leave, payslips, and profile updates within 90 days of go-live.</w:t>
      </w:r>
    </w:p>
    <w:p>
      <w:pPr>
        <w:pStyle w:val="ListParagraph"/>
        <w:numPr>
          <w:ilvl w:val="0"/>
          <w:numId w:val="2"/>
        </w:numPr>
        <w:spacing w:after="80"/>
      </w:pPr>
      <w:r>
        <w:rPr>
          <w:color w:val="262626"/>
          <w:sz w:val="21"/>
          <w:szCs w:val="21"/>
        </w:rPr>
        <w:t xml:space="preserve">HR helpdesk query volume for routine requests reduced by 40% within 6 months of go-live.</w:t>
      </w:r>
    </w:p>
    <w:p>
      <w:pPr>
        <w:pStyle w:val="ListParagraph"/>
        <w:numPr>
          <w:ilvl w:val="0"/>
          <w:numId w:val="2"/>
        </w:numPr>
        <w:spacing w:after="80"/>
      </w:pPr>
      <w:r>
        <w:rPr>
          <w:color w:val="262626"/>
          <w:sz w:val="21"/>
          <w:szCs w:val="21"/>
        </w:rPr>
        <w:t xml:space="preserve">Time-to-hire reduced by 20% within 2 quarters of recruitment module go-live.</w:t>
      </w:r>
    </w:p>
    <w:p>
      <w:pPr>
        <w:pStyle w:val="ListParagraph"/>
        <w:numPr>
          <w:ilvl w:val="0"/>
          <w:numId w:val="2"/>
        </w:numPr>
        <w:spacing w:after="80"/>
      </w:pPr>
      <w:r>
        <w:rPr>
          <w:color w:val="262626"/>
          <w:sz w:val="21"/>
          <w:szCs w:val="21"/>
        </w:rPr>
        <w:t xml:space="preserve">Zero critical statutory compliance findings in the first post-implementation audit.</w:t>
      </w:r>
    </w:p>
    <w:p>
      <w:pPr>
        <w:pStyle w:val="Heading1"/>
        <w:pBdr>
          <w:bottom w:val="single" w:color="2E74B5" w:sz="8" w:space="4"/>
        </w:pBdr>
        <w:spacing w:after="200" w:before="400"/>
      </w:pPr>
      <w:r>
        <w:rPr>
          <w:b/>
          <w:bCs/>
          <w:color w:val="1F3864"/>
          <w:sz w:val="28"/>
          <w:szCs w:val="28"/>
        </w:rPr>
        <w:t xml:space="preserve">13.  Approval and Sign-off</w:t>
      </w:r>
    </w:p>
    <w:p>
      <w:pPr>
        <w:spacing w:after="160" w:line="276"/>
      </w:pPr>
      <w:r>
        <w:rPr>
          <w:color w:val="262626"/>
          <w:sz w:val="21"/>
          <w:szCs w:val="21"/>
        </w:rPr>
        <w:t xml:space="preserve">By signing below, the stakeholders confirm that this Business Requirements Document accurately reflects the agreed business requirements and authorize proceeding to the solution design and vendor selection phase.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60"/>
        <w:gridCol w:w="2360"/>
        <w:gridCol w:w="2360"/>
        <w:gridCol w:w="2360"/>
      </w:tblGrid>
      <w:tr>
        <w:tc>
          <w:tcPr>
            <w:tcW w:type="dxa" w:w="2360"/>
            <w:shd w:fill="1F3864" w:val="clear"/>
            <w:tcMar>
              <w:top w:type="dxa" w:w="80"/>
              <w:left w:type="dxa" w:w="100"/>
              <w:bottom w:type="dxa" w:w="80"/>
              <w:right w:type="dxa" w:w="100"/>
            </w:tcMar>
            <w:vAlign w:val="center"/>
          </w:tcPr>
          <w:p>
            <w:r>
              <w:rPr>
                <w:b/>
                <w:bCs/>
                <w:color w:val="FFFFFF"/>
                <w:sz w:val="19"/>
                <w:szCs w:val="19"/>
              </w:rPr>
              <w:t xml:space="preserve">Name</w:t>
            </w:r>
          </w:p>
        </w:tc>
        <w:tc>
          <w:tcPr>
            <w:tcW w:type="dxa" w:w="236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2360"/>
            <w:shd w:fill="1F3864" w:val="clear"/>
            <w:tcMar>
              <w:top w:type="dxa" w:w="80"/>
              <w:left w:type="dxa" w:w="100"/>
              <w:bottom w:type="dxa" w:w="80"/>
              <w:right w:type="dxa" w:w="100"/>
            </w:tcMar>
            <w:vAlign w:val="center"/>
          </w:tcPr>
          <w:p>
            <w:r>
              <w:rPr>
                <w:b/>
                <w:bCs/>
                <w:color w:val="FFFFFF"/>
                <w:sz w:val="19"/>
                <w:szCs w:val="19"/>
              </w:rPr>
              <w:t xml:space="preserve">Signature</w:t>
            </w:r>
          </w:p>
        </w:tc>
        <w:tc>
          <w:tcPr>
            <w:tcW w:type="dxa" w:w="2360"/>
            <w:shd w:fill="1F3864" w:val="clear"/>
            <w:tcMar>
              <w:top w:type="dxa" w:w="80"/>
              <w:left w:type="dxa" w:w="100"/>
              <w:bottom w:type="dxa" w:w="80"/>
              <w:right w:type="dxa" w:w="100"/>
            </w:tcMar>
            <w:vAlign w:val="center"/>
          </w:tcPr>
          <w:p>
            <w:r>
              <w:rPr>
                <w:b/>
                <w:bCs/>
                <w:color w:val="FFFFFF"/>
                <w:sz w:val="19"/>
                <w:szCs w:val="19"/>
              </w:rPr>
              <w:t xml:space="preserve">Date</w:t>
            </w:r>
          </w:p>
        </w:tc>
      </w:tr>
      <w:tr>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Executive Sponsor (CHRO)</w:t>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r>
      <w:tr>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Project Sponsor (Head of HR Ops)</w:t>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r>
      <w:tr>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CIO / IT Sponsor</w:t>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r>
      <w:tr>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Finance Representative</w:t>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r>
      <w:tr>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Compliance Officer</w:t>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c>
          <w:tcPr>
            <w:tcW w:type="dxa" w:w="2360"/>
            <w:tcMar>
              <w:top w:type="dxa" w:w="80"/>
              <w:left w:type="dxa" w:w="100"/>
              <w:bottom w:type="dxa" w:w="80"/>
              <w:right w:type="dxa" w:w="100"/>
            </w:tcMar>
            <w:vAlign w:val="center"/>
          </w:tcPr>
          <w:p>
            <w:r>
              <w:rPr>
                <w:b w:val="false"/>
                <w:bCs w:val="false"/>
                <w:color w:val="262626"/>
                <w:sz w:val="19"/>
                <w:szCs w:val="19"/>
              </w:rPr>
              <w:t xml:space="preserve"/>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Business Requirements Document – HRMS</w:t>
    </w:r>
    <w:r>
      <w:rPr>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2026-07-01T08:15:57.515Z</dcterms:created>
  <dcterms:modified xsi:type="dcterms:W3CDTF">2026-07-01T08:15:57.515Z</dcterms:modified>
</cp:coreProperties>
</file>

<file path=docProps/custom.xml><?xml version="1.0" encoding="utf-8"?>
<Properties xmlns="http://schemas.openxmlformats.org/officeDocument/2006/custom-properties" xmlns:vt="http://schemas.openxmlformats.org/officeDocument/2006/docPropsVTypes"/>
</file>