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BRT ↔ ACORD Parameter Mapping</w:t>
      </w:r>
    </w:p>
    <w:p>
      <w:pPr>
        <w:spacing w:after="60" w:before="0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Construction Type Scoring (Parameter A1) and Related Risk Parameters</w:t>
      </w:r>
    </w:p>
    <w:p>
      <w:pPr>
        <w:pBdr>
          <w:bottom w:val="single" w:color="2E5FA3" w:sz="8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ACORD Forms Analysed: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ACORD 125 (Commercial Insurance Application)   ·   ACORD 139 (Statement/Schedule of Values)   ·   ACORD 140 (Property Section)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C6E8"/>
                <w:sz w:val="16"/>
                <w:szCs w:val="16"/>
              </w:rPr>
              <w:t xml:space="preserve">TOTAL PARAMETERS</w:t>
            </w:r>
          </w:p>
        </w:tc>
        <w:tc>
          <w:tcPr>
            <w:tcW w:type="dxa" w:w="23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D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16"/>
                <w:szCs w:val="16"/>
              </w:rPr>
              <w:t xml:space="preserve">EXACT MATCHES</w:t>
            </w:r>
          </w:p>
        </w:tc>
        <w:tc>
          <w:tcPr>
            <w:tcW w:type="dxa" w:w="2340"/>
            <w:tcBorders>
              <w:top w:val="single" w:color="7D4E00" w:sz="1"/>
              <w:left w:val="single" w:color="7D4E00" w:sz="1"/>
              <w:bottom w:val="single" w:color="7D4E00" w:sz="1"/>
              <w:right w:val="single" w:color="7D4E00" w:sz="1"/>
            </w:tcBorders>
            <w:shd w:fill="FFF3C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40"/>
                <w:szCs w:val="40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4E00"/>
                <w:sz w:val="16"/>
                <w:szCs w:val="16"/>
              </w:rPr>
              <w:t xml:space="preserve">PARTIAL MATCHES</w:t>
            </w:r>
          </w:p>
        </w:tc>
        <w:tc>
          <w:tcPr>
            <w:tcW w:type="dxa" w:w="234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DD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1A1A"/>
                <w:sz w:val="16"/>
                <w:szCs w:val="16"/>
              </w:rPr>
              <w:t xml:space="preserve">NO MATCH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Match Type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EXACT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Same field name or direct equivalence between BRT parameter and ACORD form field.</w:t>
            </w:r>
          </w:p>
        </w:tc>
        <w:tc>
          <w:tcPr>
            <w:tcW w:type="dxa" w:w="3120"/>
            <w:tcBorders>
              <w:top w:val="single" w:color="7D4E00" w:sz="1"/>
              <w:left w:val="single" w:color="7D4E00" w:sz="1"/>
              <w:bottom w:val="single" w:color="7D4E00" w:sz="1"/>
              <w:right w:val="single" w:color="7D4E0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PARTIAL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Semantic match with different label, abbreviation, or requires derivation from ACORD field(s).</w:t>
            </w:r>
          </w:p>
        </w:tc>
        <w:tc>
          <w:tcPr>
            <w:tcW w:type="dxa" w:w="31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A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 MATCH</w:t>
            </w:r>
          </w:p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BRT scoring concept not present in ACORD 125, 139, or 140. Requires third-party data source.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Full Parameter Mapping Table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77"/>
          <w:sz w:val="18"/>
          <w:szCs w:val="18"/>
        </w:rPr>
        <w:t xml:space="preserve">All BRT parameters are mapped below to corresponding ACORD form fields. Use the Match Type column to assess data availability and any derivation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200"/>
        <w:gridCol w:w="1500"/>
        <w:gridCol w:w="1000"/>
        <w:gridCol w:w="900"/>
        <w:gridCol w:w="24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BRT Parameter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BRT Description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Possible Values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Matching ACORD Field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ACORD Document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Type</w:t>
            </w:r>
          </w:p>
        </w:tc>
        <w:tc>
          <w:tcPr>
            <w:tcW w:type="dxa" w:w="2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Reasoning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A1 — Construction Class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Physical construction material type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Frame, Joisted Masonry, Non-Combustible, Masonry NC, Modified Fire Resistive, Fire Resistive, Superior FR, Modular, Mixed, Historic URM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CONSTRUCTION TYPE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dedicated Construction Type field. Filed values: Fire Resistive (Steel, Reinforced) = ISO Class 6.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A1 — ISO Class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ISO construction class number 1–6+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Class 1 – 6+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Construction Type (ISO mapping)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ISO class is implicitly encoded in the Construction Type field. Fire Resistive (Steel, Reinforced) = Class 6.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A1 — Points (0–150)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BRT scoring points for construction class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5 – 150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or Loss Cost (inferred)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139 Pg 1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139 Rate/Loss Cost column absorbs construction-driven pricing. Points are an internal BRT metric not a standalone ACORD field.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A1 — Fire Rate Factor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multiplier based on construction class (0.60× – 2.50×)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0.60× – 2.50×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OR LOSS COST / CAUSES OF LOSS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139 Pg 1 / ACORD 140 Pg 1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Rate factor feeds into ACORD 139 Rate/Loss Cost column. ACORD 140 Causes of Loss captures Fire as a covered peril.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A1 — UW Action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Underwriter action required by construction class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Surcharge+Inspection, Surcharge, Standard, Preferred, Best Rate, Referral, Case by Case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REMARKS / PROCESSING INSTRUCTIONS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3 / ACORD 140 Pg 3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Both forms have Remarks sections for UW action notes. No dedicated UW Action field exists in standard ACORD forms.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A2 — Overall Building Age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 of building in years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0–10, 11–25, 26–40, 41–60, 60+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YR BUILT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YR BUILT field captures construction year. NB01: 2012; NB02: 2018. Age calculated from effective date 07/15/2025.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A2 — Required Action (Age)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Action required based on building age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None, Document renovations, Verify systems, Inspection Required, Full engineering inspection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BUILDING IMPROVEMENTS / REMARKS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Building Improvements section (Wiring, Plumbing, Roofing, Heating years) serves as a partial proxy for renovation verification.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A6 — Roof System Age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 of roof in years (Flat/TPO/EPDM)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0–7, 8–15, 16–20, 20+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ROOFING, YR / ROOF TYPE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explicitly records ROOFING, YR under Building Improvements. NB01: 2012; NB02: 2018. ROOF TYPE field further refines.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A7 — HVAC System Age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 of HVAC system in years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0–10, 11–20, 21+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HEATING, YR (Building Improvements)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HEATING, YR covers heating component of HVAC. Cooling/ventilation year not separately captured in ACORD forms.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A7 — Heating Source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Type of primary/secondary heating system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Boiler, Solid Fuel, Other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PRIMARY HEAT / SECONDARY HEAT / HEATING SOURCE INCL WOODBURNING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Primary/Secondary Heat fields with Boiler and Solid Fuel checkboxes plus Stove/Fireplace Insert field. Strong semantic match.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A8 — Electrical System Age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 of electrical system in years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0–15, 16–25, 26–35, 36+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WIRING, YR (Building Improvements)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explicitly records WIRING, YR. NB01: 2012; NB02: 2018. Direct match for electrical system age.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A9 — Plumbing System Age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 of plumbing system in years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0–15, 16–25, 26–40, 41+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PLUMBING, YR (Building Improvements)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explicitly records PLUMBING, YR. NB01: not recorded; NB02: 2018. Direct match.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 — Occupancy Type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Type of building occupancy for hazard classification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Class A Office, Medical, Retail, Restaurant, Light Industrial, Heavy Mfg, Automotive, Hospitality, Self-Storage, Cannabis, Data Center, Mixed Use, Place of Worship, Educational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BLDG DESCRIPTION / OTHER OCCUPANCIES / DESCRIPTION OF PRIMARY OPERATIONS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 / ACORD 125 Pg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BLDG DESCRIPTION and OTHER OCCUPANCIES fields plus ACORD 125 Nature of Business capture occupancy but with different granularity than BRT.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 — Hazard Class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Risk hazard level from occupancy (Low – Very High)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Low, Low-Medium, Medium, Medium-High, High, Very High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GL CODE / SIC / NAICS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GL Code, SIC, and NAICS codes encode industry and hazard class — standard proxies for BRT occupancy hazard classification.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 — Base Points (Occupancy)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BRT occupancy scoring points (20–180)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20 – 180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OR LOSS COST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139 Pg 1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139 Rate/Loss Cost column absorbs occupancy-driven pricing. BRT point score is an internal UW metric.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B5 — Vacancy Rate (%)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Percentage of building that is unoccupied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0–5%, 6–15%, 16–30%, 31–50%, 51%+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OCCUPIED AREA / TOTAL BUILDING AREA (inferred)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Pg 2 captures Occupied Area vs Total Building Area and leased area Y/N. Vacancy rate can be derived but is not a direct field.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C2 — FEMA Flood Zone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FEMA flood zone classification of property location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Zone X, Zone AH/AO, Zone AE/A, Zone VE/V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CAUSES OF LOSS — Flood / Subject of Insurance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 / ACORD 139 Pg 1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records Flood as a cause of loss with coverage amounts ($7M NB01, $4M NB02). Specific FEMA zone is not a named ACORD field.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C4 — Wildfire Risk Score (0–100)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Wildfire hazard score for property location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0–25 Low, 26–50 Moderate, 51–75 High, 76–100 Very High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A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NO MATCH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No wildfire risk score field exists in ACORD 125, 139, or 140. Sourced from third-party models (e.g., Verisk, CoreLogic).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C5 — Wind Zone / Hurricane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Wind zone classification for hurricane/wind exposure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Zone 1–5 (Inland to High-velocity)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WIND CLASS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WIND CLASS field alongside SEMI-RESISTIVE and RESISTIVE checkboxes. Direct conceptual match; BRT zone numbering differs from ACORD labels.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C6 — Earthquake PML (% TIV)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Probable Maximum Loss from earthquake as % of TIV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&lt;5%, 5–15%, 15–30%, &gt;30%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CAUSES OF LOSS — Earthquake / Subject of Insurance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 / ACORD 139 Pg 1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records Earthquake cause of loss with amounts ($12M NB01, $7M NB02). PML % is a BRT internal calculation not an ACORD field.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C7 — Hail Score (0–10)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Hail hazard score for property location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0–4 Low, 5–7 Moderate, 8–10 High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A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NO MATCH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No hail score field in any of the three ACORD forms. BRT-specific scoring element from catastrophe models.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C10 — ISO PPC Rating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ISO Public Protection Classification for fire department response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Class 1 (Excellent) – Class 10 (Unprotected)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PROT CL (Protection Class)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dedicated PROT CL # field capturing ISO Public Protection Class. NB01: 25; NB02: 15 recorded.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C10 — Distance to Hydrant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Distance from building to nearest fire hydrant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Numeric (feet/miles)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DISTANCE TO HYDRANT (FT / MI)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explicit DISTANCE TO HYDRANT field in FT and MI. NB01: 20 FT / 2 MI; NB02: 20 FT / 3 MI. Direct match.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D1 — Prior Carrier Departure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Reason for leaving prior insurance carrier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Voluntary/Market Exit, Non-Renewal (UW), Cancellation (Non-Payment), Cancellation (Misrepresentation)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POLICY CANCELLED/NON-RENEWED (Q5) / PRIOR CARRIER INFORMATION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3 &amp; 4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Q5 asks about cancellations/non-renewals with Non-Renewal and Non-Payment checkboxes. Prior Carrier section on Pg 4 captures carrier history.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D2 — 5-Year Loss Count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Number of claims/losses in past 5 years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0, 1, 2, 3, 4, 5+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ENTER ALL CLAIMS OR LOSSES (Loss History) / LOSS SUMMARY attachment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4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Pg 4 Loss History captures individual claims. Count tallied from entries. Loss Summary attachment referenced for additional data.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D3 — 5-Year Incurred ($)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Total incurred loss amount over past 5 years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&lt;$25K, $25K–$100K, $100K–$500K, $500K–$1M, &gt;$1M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YEARS TOTAL LOSSES ($) / AMOUNT PAID / AMOUNT RESERVED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4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Pg 4 records total losses, amount paid, and reserved per claim. Aggregated across entries corresponds to BRT D3 total incurred.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D5 — Annual Revenue (BI Limit Check)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Annual revenue as % of BI limit (adequacy check)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0–74%, 75–99%, 100%+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ANNUAL REVENUES / BUSINESS INCOME (Lines of Business)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Pg 2 has Annual Revenues per location. Pg 1 indicates Business Income line. The BRT ratio check is calculated from these inputs.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D6 — BI Period Adequacy (months)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Business Interruption indemnity period adequacy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0–11, 12–17, 18+ months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A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NO MATCH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No BI indemnity period field in ACORD 125, 139, or 140. Typically captured in ACORD 810 (BI supplement), referenced but not provided.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D8 — Years in Business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Years the insured has been in operation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0–1, 2–4, 5–9, 10+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DATE BUSINESS STARTED (MM/DD/YYYY)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Pg 2 has Date Business Started under Nature of Business. Years in business derived by calculation from effective date.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E1 — Sprinkler System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Type and coverage of automatic sprinkler system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NFPA 13 100%, NFPA 13R/13D 100%, Partial 75–99%, Partial &lt;75%, None-Required, None-Not Required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PREMISES FIRE PROTECTION / % SPRNK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Premises Fire Protection and % SPRNK fields. NB01: Sprinklers on all floors; NB02: Sprinklers on all floors and Basement. Direct match.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E3 — Fire Alarm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Fire alarm system type and monitoring level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UL Central Station Monitored, Local Alarm + Smoke Detectors, Local Alarm Only, None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FIRE ALARM MANUFACTURER / CENTRAL STATION / LOCAL GONG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Fire Alarm Manufacturer, Central Station, and Local Gong fields. Both premises show 2 Automatic Alarms/floor by SecureTech.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E5 — Security System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Type and monitoring level of security/burglar alarm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Central-monitored + video + guard, Central-monitored burglar alarm, Local alarm only, None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BURGLAR ALARM TYPE / INSTALLER / # GUARDS/WATCHMEN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full Burglar Alarm section: type, installer (SecureTech), extent, grade, guards (NB01: 22; NB02: 16), monitoring type. Direct match.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E6 — Last Fire Inspection (months)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Time since last fire safety inspection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0–12, 12–24, &gt;24 months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Alarm Certificate EXPIRATION DATE (partial proxy)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Expiration Date for burglar alarm certificate. No direct fire inspection date field exists in the three forms.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E8 — Backup Power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Type of backup electrical power system on premises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Generator N+1, Generator Single, UPS Only, None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A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NO MATCH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No backup power/generator field in ACORD 125, 139, or 140. BRT-specific risk quality factor relevant for data centers and medical occupancies.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F1 — Building Code Compliance (years)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Age of applicable building code (years old)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0–5, 6–15, 16–30, 30+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BLDG CODE GRADE / YR BUILT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has BLDG CODE GRADE field. Vintage inferred from YR BUILT. Specific code edition (for age scoring) not directly captured.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F2 — ADA Compliance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Americans with Disabilities Act compliance status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Fully compliant, Pending (documented plan), Non-compliant (no plan)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A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NO MATCH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ADA compliance is not captured in any of the three ACORD forms. Typically addressed in a GL supplement or underwriting questionnaire.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F3 — Environmental Assessment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Environmental site assessment status (Phase I/II)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Phase I Clean, Phase I Recs, Phase II Clean, Phase II Contamination, None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Q3 Exposure to Chemicals / Q12 Foreign Operations / REMARKS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3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Q3 asks about flammables/chemicals exposure. Q12 about foreign operations/products. Partial proxy for environmental risk; Phase I/II status not a named field.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F4 — Risk Management Program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Formality of insured's risk management/ERM program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Formal ERM (ISO 31000/RIMS), Informal (written policies), Ad hoc (verbal), None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Q2 FORMAL SAFETY PROGRAM / SAFETY MANUAL / SAFETY POSITION / OSHA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3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Q2 asks about formal safety programs with Safety Manual, Position, Monthly Meetings, OSHA sub-fields. Closely parallels BRT F4 formality tiers.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F5 — Deferred Maintenance Score (0–10)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Extent of unaddressed building maintenance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0–2 Minimal, 3–5 Moderate, 6–8 Significant, 9–10 Critical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Q8 UNCORRECTED FIRE/SAFETY CODE VIOLATIONS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3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Q8 captures uncorrected fire/safety violations with date, explanation, and resolution. Partial proxy covering code violations only, not broader maintenance.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F6 — Claims Litigation / Disputes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Status of claims-related litigation against a carrier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None, Prior dispute resolved, Active litigation against carrier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Q10 JUDGEMENT OR LIEN / LOSS HISTORY (Open Claims)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125 Pg 3 &amp; 4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125 Q10 captures judgements/liens (proxy for litigation). Loss History Pg 4 has Claim Open Y/N and Subrogation fields. Active carrier litigation inferred but not directly asked.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F7 — Insurance-to-Value (ITV %)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Ratio of insured value to replacement cost value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0–74%, 75–79%, 80–89%, 90–99%, 100%+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COINS % / SUBJECT OF INSURANCE AMOUNT / ACV/RC / 100% VALUES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 / ACORD 139 Pg 1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COINS % and coverage amounts allow ITV calculation. ACORD 139 100% VALUES and ACV/RC columns plus coinsurance options (80/90/100%) align with F7 adequacy thresholds.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 — Total Building Area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Total floor area of building in sq ft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Numeric (sq ft)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TOTAL AREA / TOTAL BUILDING AREA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 / ACORD 125 Pg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TOTAL AREA field. NB01: 250,000 sq ft; NB02: 170,000 sq ft. ACORD 125 Pg 2 also has Total Building Area (SQ FT). Exact match.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 — Number of Stories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Number of above-grade floors in building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Numeric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# STORIES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# STORIES field. NB01: 2 stories; NB02: 15 stories. Direct match.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 — Number of Basements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Number of below-grade levels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Numeric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# BASM'TS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A3"/>
                <w:sz w:val="16"/>
                <w:szCs w:val="16"/>
              </w:rPr>
              <w:t xml:space="preserve">ACORD 140 Pg 1 &amp; 2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EXACT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77"/>
                <w:sz w:val="16"/>
                <w:szCs w:val="16"/>
              </w:rPr>
              <w:t xml:space="preserve">ACORD 140 # BASM'TS field. NB01: 2; NB02: 2. Direct match.</w:t>
            </w:r>
          </w:p>
        </w:tc>
      </w:tr>
    </w:tbl>
    <w:p>
      <w:pPr>
        <w:pBdr>
          <w:bottom w:val="single" w:color="2E5FA3" w:sz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Observations &amp; Recommendations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ACORD 140 — Primary Source: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Covers most construction, building systems, and fire/security protection parameters. Provides direct field matches for Construction Type, YR Built, Wiring/Plumbing/Roofing YR, # Stories/Basements, Total Area, PROT CL, Distance to Hydrant, Sprinkler System, Fire Alarm, and Burglar Alarm.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ACORD 125 — Operational &amp; Financial: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Handles loss history, prior carrier information, safety programs, annual revenues, nature of business, and general underwriting conditions. Most fields are partial matches requiring data derivation or aggregation.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ACORD 139 — Coverage Amounts &amp; Rating: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Contributes to coverage amount and rate-related parameters only. Applicable causes of loss (Fire, Earthquake, Flood) and coinsurance percentages partially map to BRT risk scoring inputs.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No-Match Parameters (5 total):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Wildfire Risk Score (C4), Hail Score (C7), BI Period Adequacy (D6), Backup Power (E8), and ADA Compliance (F2) are BRT-proprietary scoring inputs. These are typically sourced from third-party catastrophe models, policy supplements (ACORD 810), or separate underwriting questionnaires not reflected in standard ACORD forms.</w:t>
      </w:r>
    </w:p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/>
          <w:iCs/>
          <w:color w:val="555577"/>
          <w:sz w:val="17"/>
          <w:szCs w:val="17"/>
        </w:rPr>
        <w:t xml:space="preserve">Note: Parameters with Partial match require additional derivation logic or supplemental data collection during the underwriting workflow. Parameters with No Match should be sourced from third-party data providers or additional underwriting questionnaires prior to scoring.</w:t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77"/>
        <w:sz w:val="16"/>
        <w:szCs w:val="16"/>
      </w:rPr>
      <w:t xml:space="preserve">CONFIDENTIAL — Underwriting Use Only    |    Agency: Prime Brokers Ltd.    |    Agency Customer ID: 542198</w:t>
    </w:r>
    <w:r>
      <w:rPr>
        <w:rFonts w:ascii="Arial" w:cs="Arial" w:eastAsia="Arial" w:hAnsi="Arial"/>
        <w:color w:val="555577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/>
      </w:pBdr>
      <w:spacing w:after="8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BRT ↔ ACORD Parameter Mapping Report</w:t>
    </w:r>
    <w:r>
      <w:rPr>
        <w:rFonts w:ascii="Arial" w:cs="Arial" w:eastAsia="Arial" w:hAnsi="Arial"/>
        <w:color w:val="555577"/>
        <w:sz w:val="18"/>
        <w:szCs w:val="18"/>
      </w:rPr>
      <w:t xml:space="preserve">    |    Construction Type Scoring (Parameter A1) &amp; Related Parameters    |    Effective: 07/15/2025    |    Insured: Berkshire Hathaway    |    Carrier: Phoenix Insurers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2026-04-29T07:59:31.151Z</dcterms:created>
  <dcterms:modified xsi:type="dcterms:W3CDTF">2026-04-29T07:59:31.152Z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