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PRODUCT WHITE PAPER</w:t>
      </w:r>
    </w:p>
    <w:p/>
    <w:p/>
    <w:p/>
    <w:p/>
    <w:p>
      <w:pPr>
        <w:pStyle w:val="Title"/>
        <w:jc w:val="center"/>
      </w:pPr>
      <w:r>
        <w:t>Scrum Health Intelligence</w:t>
      </w:r>
    </w:p>
    <w:p>
      <w:pPr>
        <w:pStyle w:val="Subtitle"/>
        <w:jc w:val="center"/>
      </w:pPr>
      <w:r>
        <w:t>From retrospective reporting to early, explainable delivery decisions</w:t>
      </w:r>
    </w:p>
    <w:p/>
    <w:tbl>
      <w:tblPr>
        <w:tblW w:type="auto" w:w="0"/>
        <w:jc w:val="center"/>
        <w:tblLayout w:type="fixed"/>
        <w:tblLook w:firstColumn="1" w:firstRow="1" w:lastColumn="0" w:lastRow="0" w:noHBand="0" w:noVBand="1" w:val="04A0"/>
      </w:tblPr>
      <w:tblGrid>
        <w:gridCol w:w="9360"/>
      </w:tblGrid>
      <w:tr>
        <w:tc>
          <w:tcPr>
            <w:tcW w:type="dxa" w:w="9360"/>
            <w:shd w:fill="EAF4F5"/>
            <w:tcMar>
              <w:top w:w="150" w:type="dxa"/>
              <w:start w:w="180" w:type="dxa"/>
              <w:bottom w:w="150" w:type="dxa"/>
              <w:end w:w="180" w:type="dxa"/>
            </w:tcMar>
          </w:tcPr>
          <w:p>
            <w:pPr>
              <w:spacing w:after="40"/>
            </w:pPr>
            <w:r/>
            <w:r>
              <w:rPr>
                <w:b/>
                <w:color w:val="2A9D8F"/>
                <w:sz w:val="18"/>
              </w:rPr>
              <w:t xml:space="preserve">PRODUCT THESIS  </w:t>
            </w:r>
            <w:r>
              <w:rPr>
                <w:b/>
                <w:color w:val="17324D"/>
                <w:sz w:val="22"/>
              </w:rPr>
              <w:t>An AI-enabled intelligence layer for Jira and Confluence that detects delivery risk, maps dependencies, automates leadership reporting, and helps teams act before sprint and release outcomes deteriorate.</w:t>
            </w:r>
          </w:p>
        </w:tc>
      </w:tr>
    </w:tbl>
    <w:p>
      <w:pPr>
        <w:spacing w:after="20"/>
      </w:pPr>
    </w:p>
    <w:p/>
    <w:p>
      <w:pPr>
        <w:jc w:val="center"/>
      </w:pPr>
      <w:r>
        <w:rPr>
          <w:b/>
          <w:color w:val="17324D"/>
        </w:rPr>
        <w:t>Audience</w:t>
        <w:br/>
      </w:r>
      <w:r>
        <w:t>Engineering and Product Leaders</w:t>
        <w:br/>
        <w:br/>
      </w:r>
      <w:r>
        <w:rPr>
          <w:b/>
          <w:color w:val="17324D"/>
        </w:rPr>
        <w:t>Product concept</w:t>
        <w:br/>
      </w:r>
      <w:r>
        <w:t>Jira + Confluence cloud integration</w:t>
        <w:br/>
        <w:br/>
      </w:r>
      <w:r>
        <w:rPr>
          <w:b/>
          <w:color w:val="17324D"/>
        </w:rPr>
        <w:t>Version</w:t>
        <w:br/>
      </w:r>
      <w:r>
        <w:t>August 2026</w:t>
      </w:r>
    </w:p>
    <w:p>
      <w:r>
        <w:br w:type="page"/>
      </w:r>
    </w:p>
    <w:p>
      <w:pPr>
        <w:pStyle w:val="Title"/>
      </w:pPr>
      <w:r>
        <w:t>Executive summary</w:t>
      </w:r>
    </w:p>
    <w:p>
      <w:pPr>
        <w:pStyle w:val="Lead"/>
      </w:pPr>
      <w:r>
        <w:t>Most delivery dashboards describe what has already happened. They aggregate counts, velocity, burndown, and status colors, but require leaders to reconstruct the causal story: Which commitment is at risk? What changed? Which dependency is blocking progress? How reliable is the signal? Who should act next?</w:t>
      </w:r>
    </w:p>
    <w:p>
      <w:r>
        <w:t>Scrum Health Intelligence addresses this decision gap. It continuously interprets structured work signals from Jira and contextual evidence from Confluence, then converts them into an explainable view of sprint-goal confidence, dependency exposure, execution flow, readiness, and reporting burden. The product does not judge individual performance or replace Scrum events. It helps teams inspect and adapt with better evidence.</w:t>
      </w:r>
    </w:p>
    <w:tbl>
      <w:tblPr>
        <w:tblW w:type="auto" w:w="0"/>
        <w:jc w:val="center"/>
        <w:tblLayout w:type="fixed"/>
        <w:tblLook w:firstColumn="1" w:firstRow="1" w:lastColumn="0" w:lastRow="0" w:noHBand="0" w:noVBand="1" w:val="04A0"/>
      </w:tblPr>
      <w:tblGrid>
        <w:gridCol w:w="9360"/>
      </w:tblGrid>
      <w:tr>
        <w:tc>
          <w:tcPr>
            <w:tcW w:type="dxa" w:w="9360"/>
            <w:shd w:fill="EAF4F5"/>
            <w:tcMar>
              <w:top w:w="150" w:type="dxa"/>
              <w:start w:w="180" w:type="dxa"/>
              <w:bottom w:w="150" w:type="dxa"/>
              <w:end w:w="180" w:type="dxa"/>
            </w:tcMar>
          </w:tcPr>
          <w:p>
            <w:pPr>
              <w:spacing w:after="40"/>
            </w:pPr>
            <w:r/>
            <w:r>
              <w:rPr>
                <w:b/>
                <w:color w:val="2A9D8F"/>
                <w:sz w:val="18"/>
              </w:rPr>
              <w:t xml:space="preserve">NORTH-STAR OUTCOME  </w:t>
            </w:r>
            <w:r>
              <w:rPr>
                <w:b/>
                <w:color w:val="17324D"/>
                <w:sz w:val="22"/>
              </w:rPr>
              <w:t>Increase the percentage of material delivery risks identified with enough lead time for a team to mitigate them before a sprint or release commitment is missed.</w:t>
            </w:r>
          </w:p>
        </w:tc>
      </w:tr>
    </w:tbl>
    <w:p>
      <w:pPr>
        <w:spacing w:after="20"/>
      </w:pPr>
    </w:p>
    <w:p>
      <w:pPr>
        <w:pStyle w:val="Heading1"/>
      </w:pPr>
      <w:r>
        <w:t>The opportunity</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736"/>
            <w:vAlign w:val="center"/>
            <w:tcMar>
              <w:top w:w="90" w:type="dxa"/>
              <w:start w:w="120" w:type="dxa"/>
              <w:bottom w:w="90" w:type="dxa"/>
              <w:end w:w="120" w:type="dxa"/>
            </w:tcMar>
            <w:shd w:fill="17324D"/>
          </w:tcPr>
          <w:p>
            <w:pPr>
              <w:spacing w:after="0" w:line="259" w:lineRule="auto"/>
            </w:pPr>
            <w:r/>
            <w:r>
              <w:rPr>
                <w:rFonts w:ascii="Calibri" w:hAnsi="Calibri"/>
                <w:b/>
                <w:color w:val="FFFFFF"/>
                <w:sz w:val="18"/>
              </w:rPr>
              <w:t>Current state</w:t>
            </w:r>
          </w:p>
        </w:tc>
        <w:tc>
          <w:tcPr>
            <w:tcW w:type="dxa" w:w="3384"/>
            <w:vAlign w:val="center"/>
            <w:tcMar>
              <w:top w:w="90" w:type="dxa"/>
              <w:start w:w="120" w:type="dxa"/>
              <w:bottom w:w="90" w:type="dxa"/>
              <w:end w:w="120" w:type="dxa"/>
            </w:tcMar>
            <w:shd w:fill="17324D"/>
          </w:tcPr>
          <w:p>
            <w:pPr>
              <w:spacing w:after="0" w:line="259" w:lineRule="auto"/>
            </w:pPr>
            <w:r/>
            <w:r>
              <w:rPr>
                <w:rFonts w:ascii="Calibri" w:hAnsi="Calibri"/>
                <w:b/>
                <w:color w:val="FFFFFF"/>
                <w:sz w:val="18"/>
              </w:rPr>
              <w:t>Product intervention</w:t>
            </w:r>
          </w:p>
        </w:tc>
        <w:tc>
          <w:tcPr>
            <w:tcW w:type="dxa" w:w="3240"/>
            <w:vAlign w:val="center"/>
            <w:tcMar>
              <w:top w:w="90" w:type="dxa"/>
              <w:start w:w="120" w:type="dxa"/>
              <w:bottom w:w="90" w:type="dxa"/>
              <w:end w:w="120" w:type="dxa"/>
            </w:tcMar>
            <w:shd w:fill="17324D"/>
          </w:tcPr>
          <w:p>
            <w:pPr>
              <w:spacing w:after="0" w:line="259" w:lineRule="auto"/>
            </w:pPr>
            <w:r/>
            <w:r>
              <w:rPr>
                <w:rFonts w:ascii="Calibri" w:hAnsi="Calibri"/>
                <w:b/>
                <w:color w:val="FFFFFF"/>
                <w:sz w:val="18"/>
              </w:rPr>
              <w:t>Measurable result</w:t>
            </w:r>
          </w:p>
        </w:tc>
      </w:tr>
      <w:tr>
        <w:tc>
          <w:tcPr>
            <w:tcW w:type="dxa" w:w="2736"/>
            <w:vAlign w:val="center"/>
            <w:tcMar>
              <w:top w:w="90" w:type="dxa"/>
              <w:start w:w="120" w:type="dxa"/>
              <w:bottom w:w="90" w:type="dxa"/>
              <w:end w:w="120" w:type="dxa"/>
            </w:tcMar>
          </w:tcPr>
          <w:p>
            <w:pPr>
              <w:spacing w:after="0" w:line="259" w:lineRule="auto"/>
            </w:pPr>
            <w:r/>
            <w:r>
              <w:rPr>
                <w:rFonts w:ascii="Calibri" w:hAnsi="Calibri"/>
                <w:b w:val="0"/>
                <w:color w:val="21313C"/>
                <w:sz w:val="17"/>
              </w:rPr>
              <w:t>Status assembled manually across Jira and Confluence</w:t>
            </w:r>
          </w:p>
        </w:tc>
        <w:tc>
          <w:tcPr>
            <w:tcW w:type="dxa" w:w="3384"/>
            <w:vAlign w:val="center"/>
            <w:tcMar>
              <w:top w:w="90" w:type="dxa"/>
              <w:start w:w="120" w:type="dxa"/>
              <w:bottom w:w="90" w:type="dxa"/>
              <w:end w:w="120" w:type="dxa"/>
            </w:tcMar>
          </w:tcPr>
          <w:p>
            <w:pPr>
              <w:spacing w:after="0" w:line="259" w:lineRule="auto"/>
            </w:pPr>
            <w:r/>
            <w:r>
              <w:rPr>
                <w:rFonts w:ascii="Calibri" w:hAnsi="Calibri"/>
                <w:b w:val="0"/>
                <w:color w:val="21313C"/>
                <w:sz w:val="17"/>
              </w:rPr>
              <w:t>Generate role-specific narratives with evidence links</w:t>
            </w:r>
          </w:p>
        </w:tc>
        <w:tc>
          <w:tcPr>
            <w:tcW w:type="dxa" w:w="3240"/>
            <w:vAlign w:val="center"/>
            <w:tcMar>
              <w:top w:w="90" w:type="dxa"/>
              <w:start w:w="120" w:type="dxa"/>
              <w:bottom w:w="90" w:type="dxa"/>
              <w:end w:w="120" w:type="dxa"/>
            </w:tcMar>
          </w:tcPr>
          <w:p>
            <w:pPr>
              <w:spacing w:after="0" w:line="259" w:lineRule="auto"/>
            </w:pPr>
            <w:r/>
            <w:r>
              <w:rPr>
                <w:rFonts w:ascii="Calibri" w:hAnsi="Calibri"/>
                <w:b w:val="0"/>
                <w:color w:val="21313C"/>
                <w:sz w:val="17"/>
              </w:rPr>
              <w:t>Lower reporting effort and shorter decision cycles</w:t>
            </w:r>
          </w:p>
        </w:tc>
      </w:tr>
      <w:tr>
        <w:tc>
          <w:tcPr>
            <w:tcW w:type="dxa" w:w="2736"/>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Dependencies discovered in meetings or after slippage</w:t>
            </w:r>
          </w:p>
        </w:tc>
        <w:tc>
          <w:tcPr>
            <w:tcW w:type="dxa" w:w="3384"/>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Infer, validate, and monitor a dependency graph</w:t>
            </w:r>
          </w:p>
        </w:tc>
        <w:tc>
          <w:tcPr>
            <w:tcW w:type="dxa" w:w="324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Earlier escalation and fewer dependency-driven misses</w:t>
            </w:r>
          </w:p>
        </w:tc>
      </w:tr>
      <w:tr>
        <w:tc>
          <w:tcPr>
            <w:tcW w:type="dxa" w:w="2736"/>
            <w:vAlign w:val="center"/>
            <w:tcMar>
              <w:top w:w="90" w:type="dxa"/>
              <w:start w:w="120" w:type="dxa"/>
              <w:bottom w:w="90" w:type="dxa"/>
              <w:end w:w="120" w:type="dxa"/>
            </w:tcMar>
          </w:tcPr>
          <w:p>
            <w:pPr>
              <w:spacing w:after="0" w:line="259" w:lineRule="auto"/>
            </w:pPr>
            <w:r/>
            <w:r>
              <w:rPr>
                <w:rFonts w:ascii="Calibri" w:hAnsi="Calibri"/>
                <w:b w:val="0"/>
                <w:color w:val="21313C"/>
                <w:sz w:val="17"/>
              </w:rPr>
              <w:t>Risk is subjective or reduced to red/amber/green</w:t>
            </w:r>
          </w:p>
        </w:tc>
        <w:tc>
          <w:tcPr>
            <w:tcW w:type="dxa" w:w="3384"/>
            <w:vAlign w:val="center"/>
            <w:tcMar>
              <w:top w:w="90" w:type="dxa"/>
              <w:start w:w="120" w:type="dxa"/>
              <w:bottom w:w="90" w:type="dxa"/>
              <w:end w:w="120" w:type="dxa"/>
            </w:tcMar>
          </w:tcPr>
          <w:p>
            <w:pPr>
              <w:spacing w:after="0" w:line="259" w:lineRule="auto"/>
            </w:pPr>
            <w:r/>
            <w:r>
              <w:rPr>
                <w:rFonts w:ascii="Calibri" w:hAnsi="Calibri"/>
                <w:b w:val="0"/>
                <w:color w:val="21313C"/>
                <w:sz w:val="17"/>
              </w:rPr>
              <w:t>Combine transparent rules, trends, and AI evidence</w:t>
            </w:r>
          </w:p>
        </w:tc>
        <w:tc>
          <w:tcPr>
            <w:tcW w:type="dxa" w:w="3240"/>
            <w:vAlign w:val="center"/>
            <w:tcMar>
              <w:top w:w="90" w:type="dxa"/>
              <w:start w:w="120" w:type="dxa"/>
              <w:bottom w:w="90" w:type="dxa"/>
              <w:end w:w="120" w:type="dxa"/>
            </w:tcMar>
          </w:tcPr>
          <w:p>
            <w:pPr>
              <w:spacing w:after="0" w:line="259" w:lineRule="auto"/>
            </w:pPr>
            <w:r/>
            <w:r>
              <w:rPr>
                <w:rFonts w:ascii="Calibri" w:hAnsi="Calibri"/>
                <w:b w:val="0"/>
                <w:color w:val="21313C"/>
                <w:sz w:val="17"/>
              </w:rPr>
              <w:t>Higher signal precision and stakeholder trust</w:t>
            </w:r>
          </w:p>
        </w:tc>
      </w:tr>
      <w:tr>
        <w:tc>
          <w:tcPr>
            <w:tcW w:type="dxa" w:w="2736"/>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Executives see activity, not outcome confidence</w:t>
            </w:r>
          </w:p>
        </w:tc>
        <w:tc>
          <w:tcPr>
            <w:tcW w:type="dxa" w:w="3384"/>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Roll up product-goal and release exposure</w:t>
            </w:r>
          </w:p>
        </w:tc>
        <w:tc>
          <w:tcPr>
            <w:tcW w:type="dxa" w:w="324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Clearer portfolio trade-offs and interventions</w:t>
            </w:r>
          </w:p>
        </w:tc>
      </w:tr>
    </w:tbl>
    <w:p>
      <w:pPr>
        <w:spacing w:after="20"/>
      </w:pPr>
    </w:p>
    <w:p>
      <w:pPr>
        <w:pStyle w:val="Heading1"/>
      </w:pPr>
      <w:r>
        <w:t>Recommendation</w:t>
      </w:r>
    </w:p>
    <w:p>
      <w:r>
        <w:t>Enter the market through a narrow wedge: automated sprint and release health briefs for Jira/Confluence customers. Earn trust with cited evidence and editable assessments; then expand into cross-team dependency intelligence, scenario analysis, and portfolio decision support.</w:t>
      </w:r>
    </w:p>
    <w:p>
      <w:r>
        <w:br w:type="page"/>
      </w:r>
    </w:p>
    <w:p>
      <w:pPr>
        <w:pStyle w:val="Title"/>
      </w:pPr>
      <w:r>
        <w:t>1. Problem framing: dashboards without decisions</w:t>
      </w:r>
    </w:p>
    <w:p>
      <w:r>
        <w:t>Engineering organizations rarely lack data. They lack a reliable translation from work-system exhaust into timely decisions. Jira records issue state and transitions; Confluence contains goals, decisions, plans, risks, and meeting context. The intelligence needed to assess delivery health is split across both systems and often reconciled manually.</w:t>
      </w:r>
    </w:p>
    <w:p>
      <w:pPr>
        <w:pStyle w:val="Heading1"/>
      </w:pPr>
      <w:r>
        <w:t>Four high-value problems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304"/>
            <w:vAlign w:val="center"/>
            <w:tcMar>
              <w:top w:w="90" w:type="dxa"/>
              <w:start w:w="120" w:type="dxa"/>
              <w:bottom w:w="90" w:type="dxa"/>
              <w:end w:w="120" w:type="dxa"/>
            </w:tcMar>
            <w:shd w:fill="17324D"/>
          </w:tcPr>
          <w:p>
            <w:pPr>
              <w:spacing w:after="0" w:line="259" w:lineRule="auto"/>
            </w:pPr>
            <w:r/>
            <w:r>
              <w:rPr>
                <w:rFonts w:ascii="Calibri" w:hAnsi="Calibri"/>
                <w:b/>
                <w:color w:val="FFFFFF"/>
                <w:sz w:val="18"/>
              </w:rPr>
              <w:t>Problem</w:t>
            </w:r>
          </w:p>
        </w:tc>
        <w:tc>
          <w:tcPr>
            <w:tcW w:type="dxa" w:w="3456"/>
            <w:vAlign w:val="center"/>
            <w:tcMar>
              <w:top w:w="90" w:type="dxa"/>
              <w:start w:w="120" w:type="dxa"/>
              <w:bottom w:w="90" w:type="dxa"/>
              <w:end w:w="120" w:type="dxa"/>
            </w:tcMar>
            <w:shd w:fill="17324D"/>
          </w:tcPr>
          <w:p>
            <w:pPr>
              <w:spacing w:after="0" w:line="259" w:lineRule="auto"/>
            </w:pPr>
            <w:r/>
            <w:r>
              <w:rPr>
                <w:rFonts w:ascii="Calibri" w:hAnsi="Calibri"/>
                <w:b/>
                <w:color w:val="FFFFFF"/>
                <w:sz w:val="18"/>
              </w:rPr>
              <w:t>Root cause</w:t>
            </w:r>
          </w:p>
        </w:tc>
        <w:tc>
          <w:tcPr>
            <w:tcW w:type="dxa" w:w="3600"/>
            <w:vAlign w:val="center"/>
            <w:tcMar>
              <w:top w:w="90" w:type="dxa"/>
              <w:start w:w="120" w:type="dxa"/>
              <w:bottom w:w="90" w:type="dxa"/>
              <w:end w:w="120" w:type="dxa"/>
            </w:tcMar>
            <w:shd w:fill="17324D"/>
          </w:tcPr>
          <w:p>
            <w:pPr>
              <w:spacing w:after="0" w:line="259" w:lineRule="auto"/>
            </w:pPr>
            <w:r/>
            <w:r>
              <w:rPr>
                <w:rFonts w:ascii="Calibri" w:hAnsi="Calibri"/>
                <w:b/>
                <w:color w:val="FFFFFF"/>
                <w:sz w:val="18"/>
              </w:rPr>
              <w:t>Business consequence</w:t>
            </w:r>
          </w:p>
        </w:tc>
      </w:tr>
      <w:tr>
        <w:tc>
          <w:tcPr>
            <w:tcW w:type="dxa" w:w="2304"/>
            <w:vAlign w:val="center"/>
            <w:tcMar>
              <w:top w:w="90" w:type="dxa"/>
              <w:start w:w="120" w:type="dxa"/>
              <w:bottom w:w="90" w:type="dxa"/>
              <w:end w:w="120" w:type="dxa"/>
            </w:tcMar>
          </w:tcPr>
          <w:p>
            <w:pPr>
              <w:spacing w:after="0" w:line="259" w:lineRule="auto"/>
            </w:pPr>
            <w:r/>
            <w:r>
              <w:rPr>
                <w:rFonts w:ascii="Calibri" w:hAnsi="Calibri"/>
                <w:b w:val="0"/>
                <w:color w:val="21313C"/>
                <w:sz w:val="17"/>
              </w:rPr>
              <w:t>Late risk detection</w:t>
            </w:r>
          </w:p>
        </w:tc>
        <w:tc>
          <w:tcPr>
            <w:tcW w:type="dxa" w:w="3456"/>
            <w:vAlign w:val="center"/>
            <w:tcMar>
              <w:top w:w="90" w:type="dxa"/>
              <w:start w:w="120" w:type="dxa"/>
              <w:bottom w:w="90" w:type="dxa"/>
              <w:end w:w="120" w:type="dxa"/>
            </w:tcMar>
          </w:tcPr>
          <w:p>
            <w:pPr>
              <w:spacing w:after="0" w:line="259" w:lineRule="auto"/>
            </w:pPr>
            <w:r/>
            <w:r>
              <w:rPr>
                <w:rFonts w:ascii="Calibri" w:hAnsi="Calibri"/>
                <w:b w:val="0"/>
                <w:color w:val="21313C"/>
                <w:sz w:val="17"/>
              </w:rPr>
              <w:t>Lagging metrics and status-by-opinion</w:t>
            </w:r>
          </w:p>
        </w:tc>
        <w:tc>
          <w:tcPr>
            <w:tcW w:type="dxa" w:w="3600"/>
            <w:vAlign w:val="center"/>
            <w:tcMar>
              <w:top w:w="90" w:type="dxa"/>
              <w:start w:w="120" w:type="dxa"/>
              <w:bottom w:w="90" w:type="dxa"/>
              <w:end w:w="120" w:type="dxa"/>
            </w:tcMar>
          </w:tcPr>
          <w:p>
            <w:pPr>
              <w:spacing w:after="0" w:line="259" w:lineRule="auto"/>
            </w:pPr>
            <w:r/>
            <w:r>
              <w:rPr>
                <w:rFonts w:ascii="Calibri" w:hAnsi="Calibri"/>
                <w:b w:val="0"/>
                <w:color w:val="21313C"/>
                <w:sz w:val="17"/>
              </w:rPr>
              <w:t>Reduced mitigation window; surprise misses</w:t>
            </w:r>
          </w:p>
        </w:tc>
      </w:tr>
      <w:tr>
        <w:tc>
          <w:tcPr>
            <w:tcW w:type="dxa" w:w="2304"/>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Invisible dependency exposure</w:t>
            </w:r>
          </w:p>
        </w:tc>
        <w:tc>
          <w:tcPr>
            <w:tcW w:type="dxa" w:w="3456"/>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Links are incomplete; ownership and dates are implicit</w:t>
            </w:r>
          </w:p>
        </w:tc>
        <w:tc>
          <w:tcPr>
            <w:tcW w:type="dxa" w:w="360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Blocked work, launch coordination failures</w:t>
            </w:r>
          </w:p>
        </w:tc>
      </w:tr>
      <w:tr>
        <w:tc>
          <w:tcPr>
            <w:tcW w:type="dxa" w:w="2304"/>
            <w:vAlign w:val="center"/>
            <w:tcMar>
              <w:top w:w="90" w:type="dxa"/>
              <w:start w:w="120" w:type="dxa"/>
              <w:bottom w:w="90" w:type="dxa"/>
              <w:end w:w="120" w:type="dxa"/>
            </w:tcMar>
          </w:tcPr>
          <w:p>
            <w:pPr>
              <w:spacing w:after="0" w:line="259" w:lineRule="auto"/>
            </w:pPr>
            <w:r/>
            <w:r>
              <w:rPr>
                <w:rFonts w:ascii="Calibri" w:hAnsi="Calibri"/>
                <w:b w:val="0"/>
                <w:color w:val="21313C"/>
                <w:sz w:val="17"/>
              </w:rPr>
              <w:t>Manual reporting</w:t>
            </w:r>
          </w:p>
        </w:tc>
        <w:tc>
          <w:tcPr>
            <w:tcW w:type="dxa" w:w="3456"/>
            <w:vAlign w:val="center"/>
            <w:tcMar>
              <w:top w:w="90" w:type="dxa"/>
              <w:start w:w="120" w:type="dxa"/>
              <w:bottom w:w="90" w:type="dxa"/>
              <w:end w:w="120" w:type="dxa"/>
            </w:tcMar>
          </w:tcPr>
          <w:p>
            <w:pPr>
              <w:spacing w:after="0" w:line="259" w:lineRule="auto"/>
            </w:pPr>
            <w:r/>
            <w:r>
              <w:rPr>
                <w:rFonts w:ascii="Calibri" w:hAnsi="Calibri"/>
                <w:b w:val="0"/>
                <w:color w:val="21313C"/>
                <w:sz w:val="17"/>
              </w:rPr>
              <w:t>Different audiences need different summaries</w:t>
            </w:r>
          </w:p>
        </w:tc>
        <w:tc>
          <w:tcPr>
            <w:tcW w:type="dxa" w:w="3600"/>
            <w:vAlign w:val="center"/>
            <w:tcMar>
              <w:top w:w="90" w:type="dxa"/>
              <w:start w:w="120" w:type="dxa"/>
              <w:bottom w:w="90" w:type="dxa"/>
              <w:end w:w="120" w:type="dxa"/>
            </w:tcMar>
          </w:tcPr>
          <w:p>
            <w:pPr>
              <w:spacing w:after="0" w:line="259" w:lineRule="auto"/>
            </w:pPr>
            <w:r/>
            <w:r>
              <w:rPr>
                <w:rFonts w:ascii="Calibri" w:hAnsi="Calibri"/>
                <w:b w:val="0"/>
                <w:color w:val="21313C"/>
                <w:sz w:val="17"/>
              </w:rPr>
              <w:t>Hours spent collecting, formatting, and explaining</w:t>
            </w:r>
          </w:p>
        </w:tc>
      </w:tr>
      <w:tr>
        <w:tc>
          <w:tcPr>
            <w:tcW w:type="dxa" w:w="2304"/>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Weak executive product tracking</w:t>
            </w:r>
          </w:p>
        </w:tc>
        <w:tc>
          <w:tcPr>
            <w:tcW w:type="dxa" w:w="3456"/>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Activity metrics are disconnected from goals and releases</w:t>
            </w:r>
          </w:p>
        </w:tc>
        <w:tc>
          <w:tcPr>
            <w:tcW w:type="dxa" w:w="360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Slow trade-offs; false confidence or over-escalation</w:t>
            </w:r>
          </w:p>
        </w:tc>
      </w:tr>
    </w:tbl>
    <w:p>
      <w:pPr>
        <w:spacing w:after="20"/>
      </w:pPr>
    </w:p>
    <w:p>
      <w:pPr>
        <w:pStyle w:val="Heading1"/>
      </w:pPr>
      <w:r>
        <w:t>Jobs to be done</w:t>
      </w:r>
    </w:p>
    <w:p>
      <w:pPr>
        <w:pStyle w:val="ListBullet"/>
        <w:spacing w:after="80"/>
        <w:ind w:left="403" w:hanging="259"/>
      </w:pPr>
      <w:r>
        <w:t>When a sprint or release starts drifting, help a delivery leader understand the cause, confidence, impact, and next-best action before the commitment is missed.</w:t>
      </w:r>
    </w:p>
    <w:p>
      <w:pPr>
        <w:pStyle w:val="ListBullet"/>
        <w:spacing w:after="80"/>
        <w:ind w:left="403" w:hanging="259"/>
      </w:pPr>
      <w:r>
        <w:t>When multiple teams share a milestone, help a product leader see which dependency paths threaten the outcome and where escalation creates the most leverage.</w:t>
      </w:r>
    </w:p>
    <w:p>
      <w:pPr>
        <w:pStyle w:val="ListBullet"/>
        <w:spacing w:after="80"/>
        <w:ind w:left="403" w:hanging="259"/>
      </w:pPr>
      <w:r>
        <w:t>When leadership needs an update, produce a concise, evidence-linked narrative without forcing teams to recreate information in slides or spreadsheets.</w:t>
      </w:r>
    </w:p>
    <w:p>
      <w:pPr>
        <w:pStyle w:val="Heading1"/>
      </w:pPr>
      <w:r>
        <w:t>Non-goals</w:t>
      </w:r>
    </w:p>
    <w:p>
      <w:pPr>
        <w:pStyle w:val="ListBullet"/>
        <w:spacing w:after="80"/>
        <w:ind w:left="403" w:hanging="259"/>
      </w:pPr>
      <w:r>
        <w:t>Ranking people, monitoring individual activity, or using velocity as a productivity target.</w:t>
      </w:r>
    </w:p>
    <w:p>
      <w:pPr>
        <w:pStyle w:val="ListBullet"/>
        <w:spacing w:after="80"/>
        <w:ind w:left="403" w:hanging="259"/>
      </w:pPr>
      <w:r>
        <w:t>Replacing Product Owners, Scrum Masters, retrospectives, or human accountability.</w:t>
      </w:r>
    </w:p>
    <w:p>
      <w:pPr>
        <w:pStyle w:val="ListBullet"/>
        <w:spacing w:after="80"/>
        <w:ind w:left="403" w:hanging="259"/>
      </w:pPr>
      <w:r>
        <w:t>Presenting model-generated claims without source evidence, confidence, or an override path.</w:t>
      </w:r>
    </w:p>
    <w:p>
      <w:r>
        <w:br w:type="page"/>
      </w:r>
    </w:p>
    <w:p>
      <w:pPr>
        <w:pStyle w:val="Title"/>
      </w:pPr>
      <w:r>
        <w:t>2. Product definition and positioning</w:t>
      </w:r>
    </w:p>
    <w:p>
      <w:r>
        <w:t>Scrum Health Intelligence is a system of intelligence—not a second system of record. Jira remains authoritative for work state; Confluence remains authoritative for narrative context and decisions. The product observes changes, normalizes them into a delivery model, evaluates health, and publishes role-specific insights back into existing workflows.</w:t>
      </w:r>
    </w:p>
    <w:tbl>
      <w:tblPr>
        <w:tblW w:type="auto" w:w="0"/>
        <w:jc w:val="center"/>
        <w:tblLayout w:type="fixed"/>
        <w:tblLook w:firstColumn="1" w:firstRow="1" w:lastColumn="0" w:lastRow="0" w:noHBand="0" w:noVBand="1" w:val="04A0"/>
      </w:tblPr>
      <w:tblGrid>
        <w:gridCol w:w="9360"/>
      </w:tblGrid>
      <w:tr>
        <w:tc>
          <w:tcPr>
            <w:tcW w:type="dxa" w:w="9360"/>
            <w:shd w:fill="EAF4F5"/>
            <w:tcMar>
              <w:top w:w="150" w:type="dxa"/>
              <w:start w:w="180" w:type="dxa"/>
              <w:bottom w:w="150" w:type="dxa"/>
              <w:end w:w="180" w:type="dxa"/>
            </w:tcMar>
          </w:tcPr>
          <w:p>
            <w:pPr>
              <w:spacing w:after="40"/>
            </w:pPr>
            <w:r/>
            <w:r>
              <w:rPr>
                <w:b/>
                <w:color w:val="2A9D8F"/>
                <w:sz w:val="18"/>
              </w:rPr>
              <w:t xml:space="preserve">POSITIONING  </w:t>
            </w:r>
            <w:r>
              <w:rPr>
                <w:b/>
                <w:color w:val="17324D"/>
                <w:sz w:val="22"/>
              </w:rPr>
              <w:t>For engineering and product organizations using Jira and Confluence, Scrum Health Intelligence is an explainable delivery-risk platform that turns fragmented execution data into early warnings and action-ready leadership reporting—without requiring teams to maintain another status system.</w:t>
            </w:r>
          </w:p>
        </w:tc>
      </w:tr>
    </w:tbl>
    <w:p>
      <w:pPr>
        <w:spacing w:after="20"/>
      </w:pPr>
    </w:p>
    <w:p>
      <w:pPr>
        <w:pStyle w:val="Heading1"/>
      </w:pPr>
      <w:r>
        <w:t>Primary users and value</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160"/>
            <w:vAlign w:val="center"/>
            <w:tcMar>
              <w:top w:w="90" w:type="dxa"/>
              <w:start w:w="120" w:type="dxa"/>
              <w:bottom w:w="90" w:type="dxa"/>
              <w:end w:w="120" w:type="dxa"/>
            </w:tcMar>
            <w:shd w:fill="17324D"/>
          </w:tcPr>
          <w:p>
            <w:pPr>
              <w:spacing w:after="0" w:line="259" w:lineRule="auto"/>
            </w:pPr>
            <w:r/>
            <w:r>
              <w:rPr>
                <w:rFonts w:ascii="Calibri" w:hAnsi="Calibri"/>
                <w:b/>
                <w:color w:val="FFFFFF"/>
                <w:sz w:val="18"/>
              </w:rPr>
              <w:t>Persona</w:t>
            </w:r>
          </w:p>
        </w:tc>
        <w:tc>
          <w:tcPr>
            <w:tcW w:type="dxa" w:w="3096"/>
            <w:vAlign w:val="center"/>
            <w:tcMar>
              <w:top w:w="90" w:type="dxa"/>
              <w:start w:w="120" w:type="dxa"/>
              <w:bottom w:w="90" w:type="dxa"/>
              <w:end w:w="120" w:type="dxa"/>
            </w:tcMar>
            <w:shd w:fill="17324D"/>
          </w:tcPr>
          <w:p>
            <w:pPr>
              <w:spacing w:after="0" w:line="259" w:lineRule="auto"/>
            </w:pPr>
            <w:r/>
            <w:r>
              <w:rPr>
                <w:rFonts w:ascii="Calibri" w:hAnsi="Calibri"/>
                <w:b/>
                <w:color w:val="FFFFFF"/>
                <w:sz w:val="18"/>
              </w:rPr>
              <w:t>Critical question</w:t>
            </w:r>
          </w:p>
        </w:tc>
        <w:tc>
          <w:tcPr>
            <w:tcW w:type="dxa" w:w="4104"/>
            <w:vAlign w:val="center"/>
            <w:tcMar>
              <w:top w:w="90" w:type="dxa"/>
              <w:start w:w="120" w:type="dxa"/>
              <w:bottom w:w="90" w:type="dxa"/>
              <w:end w:w="120" w:type="dxa"/>
            </w:tcMar>
            <w:shd w:fill="17324D"/>
          </w:tcPr>
          <w:p>
            <w:pPr>
              <w:spacing w:after="0" w:line="259" w:lineRule="auto"/>
            </w:pPr>
            <w:r/>
            <w:r>
              <w:rPr>
                <w:rFonts w:ascii="Calibri" w:hAnsi="Calibri"/>
                <w:b/>
                <w:color w:val="FFFFFF"/>
                <w:sz w:val="18"/>
              </w:rPr>
              <w:t>Product value</w:t>
            </w:r>
          </w:p>
        </w:tc>
      </w:tr>
      <w:tr>
        <w:tc>
          <w:tcPr>
            <w:tcW w:type="dxa" w:w="2160"/>
            <w:vAlign w:val="center"/>
            <w:tcMar>
              <w:top w:w="90" w:type="dxa"/>
              <w:start w:w="120" w:type="dxa"/>
              <w:bottom w:w="90" w:type="dxa"/>
              <w:end w:w="120" w:type="dxa"/>
            </w:tcMar>
          </w:tcPr>
          <w:p>
            <w:pPr>
              <w:spacing w:after="0" w:line="259" w:lineRule="auto"/>
            </w:pPr>
            <w:r/>
            <w:r>
              <w:rPr>
                <w:rFonts w:ascii="Calibri" w:hAnsi="Calibri"/>
                <w:b w:val="0"/>
                <w:color w:val="21313C"/>
                <w:sz w:val="17"/>
              </w:rPr>
              <w:t>VP Engineering / CTO</w:t>
            </w:r>
          </w:p>
        </w:tc>
        <w:tc>
          <w:tcPr>
            <w:tcW w:type="dxa" w:w="3096"/>
            <w:vAlign w:val="center"/>
            <w:tcMar>
              <w:top w:w="90" w:type="dxa"/>
              <w:start w:w="120" w:type="dxa"/>
              <w:bottom w:w="90" w:type="dxa"/>
              <w:end w:w="120" w:type="dxa"/>
            </w:tcMar>
          </w:tcPr>
          <w:p>
            <w:pPr>
              <w:spacing w:after="0" w:line="259" w:lineRule="auto"/>
            </w:pPr>
            <w:r/>
            <w:r>
              <w:rPr>
                <w:rFonts w:ascii="Calibri" w:hAnsi="Calibri"/>
                <w:b w:val="0"/>
                <w:color w:val="21313C"/>
                <w:sz w:val="17"/>
              </w:rPr>
              <w:t>Which commitments need intervention now?</w:t>
            </w:r>
          </w:p>
        </w:tc>
        <w:tc>
          <w:tcPr>
            <w:tcW w:type="dxa" w:w="4104"/>
            <w:vAlign w:val="center"/>
            <w:tcMar>
              <w:top w:w="90" w:type="dxa"/>
              <w:start w:w="120" w:type="dxa"/>
              <w:bottom w:w="90" w:type="dxa"/>
              <w:end w:w="120" w:type="dxa"/>
            </w:tcMar>
          </w:tcPr>
          <w:p>
            <w:pPr>
              <w:spacing w:after="0" w:line="259" w:lineRule="auto"/>
            </w:pPr>
            <w:r/>
            <w:r>
              <w:rPr>
                <w:rFonts w:ascii="Calibri" w:hAnsi="Calibri"/>
                <w:b w:val="0"/>
                <w:color w:val="21313C"/>
                <w:sz w:val="17"/>
              </w:rPr>
              <w:t>Portfolio exposure, trend, confidence, and accountable action</w:t>
            </w:r>
          </w:p>
        </w:tc>
      </w:tr>
      <w:tr>
        <w:tc>
          <w:tcPr>
            <w:tcW w:type="dxa" w:w="216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Product leader</w:t>
            </w:r>
          </w:p>
        </w:tc>
        <w:tc>
          <w:tcPr>
            <w:tcW w:type="dxa" w:w="3096"/>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Are product goals and releases converging?</w:t>
            </w:r>
          </w:p>
        </w:tc>
        <w:tc>
          <w:tcPr>
            <w:tcW w:type="dxa" w:w="4104"/>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Outcome-linked delivery confidence and dependency paths</w:t>
            </w:r>
          </w:p>
        </w:tc>
      </w:tr>
      <w:tr>
        <w:tc>
          <w:tcPr>
            <w:tcW w:type="dxa" w:w="2160"/>
            <w:vAlign w:val="center"/>
            <w:tcMar>
              <w:top w:w="90" w:type="dxa"/>
              <w:start w:w="120" w:type="dxa"/>
              <w:bottom w:w="90" w:type="dxa"/>
              <w:end w:w="120" w:type="dxa"/>
            </w:tcMar>
          </w:tcPr>
          <w:p>
            <w:pPr>
              <w:spacing w:after="0" w:line="259" w:lineRule="auto"/>
            </w:pPr>
            <w:r/>
            <w:r>
              <w:rPr>
                <w:rFonts w:ascii="Calibri" w:hAnsi="Calibri"/>
                <w:b w:val="0"/>
                <w:color w:val="21313C"/>
                <w:sz w:val="17"/>
              </w:rPr>
              <w:t>Engineering manager</w:t>
            </w:r>
          </w:p>
        </w:tc>
        <w:tc>
          <w:tcPr>
            <w:tcW w:type="dxa" w:w="3096"/>
            <w:vAlign w:val="center"/>
            <w:tcMar>
              <w:top w:w="90" w:type="dxa"/>
              <w:start w:w="120" w:type="dxa"/>
              <w:bottom w:w="90" w:type="dxa"/>
              <w:end w:w="120" w:type="dxa"/>
            </w:tcMar>
          </w:tcPr>
          <w:p>
            <w:pPr>
              <w:spacing w:after="0" w:line="259" w:lineRule="auto"/>
            </w:pPr>
            <w:r/>
            <w:r>
              <w:rPr>
                <w:rFonts w:ascii="Calibri" w:hAnsi="Calibri"/>
                <w:b w:val="0"/>
                <w:color w:val="21313C"/>
                <w:sz w:val="17"/>
              </w:rPr>
              <w:t>Why is flow or predictability degrading?</w:t>
            </w:r>
          </w:p>
        </w:tc>
        <w:tc>
          <w:tcPr>
            <w:tcW w:type="dxa" w:w="4104"/>
            <w:vAlign w:val="center"/>
            <w:tcMar>
              <w:top w:w="90" w:type="dxa"/>
              <w:start w:w="120" w:type="dxa"/>
              <w:bottom w:w="90" w:type="dxa"/>
              <w:end w:w="120" w:type="dxa"/>
            </w:tcMar>
          </w:tcPr>
          <w:p>
            <w:pPr>
              <w:spacing w:after="0" w:line="259" w:lineRule="auto"/>
            </w:pPr>
            <w:r/>
            <w:r>
              <w:rPr>
                <w:rFonts w:ascii="Calibri" w:hAnsi="Calibri"/>
                <w:b w:val="0"/>
                <w:color w:val="21313C"/>
                <w:sz w:val="17"/>
              </w:rPr>
              <w:t>Contributing signals, affected scope, and mitigation options</w:t>
            </w:r>
          </w:p>
        </w:tc>
      </w:tr>
      <w:tr>
        <w:tc>
          <w:tcPr>
            <w:tcW w:type="dxa" w:w="216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Scrum Master / TPM</w:t>
            </w:r>
          </w:p>
        </w:tc>
        <w:tc>
          <w:tcPr>
            <w:tcW w:type="dxa" w:w="3096"/>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What needs facilitation or escalation?</w:t>
            </w:r>
          </w:p>
        </w:tc>
        <w:tc>
          <w:tcPr>
            <w:tcW w:type="dxa" w:w="4104"/>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Automated brief, blocker aging, dependency follow-through</w:t>
            </w:r>
          </w:p>
        </w:tc>
      </w:tr>
      <w:tr>
        <w:tc>
          <w:tcPr>
            <w:tcW w:type="dxa" w:w="2160"/>
            <w:vAlign w:val="center"/>
            <w:tcMar>
              <w:top w:w="90" w:type="dxa"/>
              <w:start w:w="120" w:type="dxa"/>
              <w:bottom w:w="90" w:type="dxa"/>
              <w:end w:w="120" w:type="dxa"/>
            </w:tcMar>
          </w:tcPr>
          <w:p>
            <w:pPr>
              <w:spacing w:after="0" w:line="259" w:lineRule="auto"/>
            </w:pPr>
            <w:r/>
            <w:r>
              <w:rPr>
                <w:rFonts w:ascii="Calibri" w:hAnsi="Calibri"/>
                <w:b w:val="0"/>
                <w:color w:val="21313C"/>
                <w:sz w:val="17"/>
              </w:rPr>
              <w:t>Team</w:t>
            </w:r>
          </w:p>
        </w:tc>
        <w:tc>
          <w:tcPr>
            <w:tcW w:type="dxa" w:w="3096"/>
            <w:vAlign w:val="center"/>
            <w:tcMar>
              <w:top w:w="90" w:type="dxa"/>
              <w:start w:w="120" w:type="dxa"/>
              <w:bottom w:w="90" w:type="dxa"/>
              <w:end w:w="120" w:type="dxa"/>
            </w:tcMar>
          </w:tcPr>
          <w:p>
            <w:pPr>
              <w:spacing w:after="0" w:line="259" w:lineRule="auto"/>
            </w:pPr>
            <w:r/>
            <w:r>
              <w:rPr>
                <w:rFonts w:ascii="Calibri" w:hAnsi="Calibri"/>
                <w:b w:val="0"/>
                <w:color w:val="21313C"/>
                <w:sz w:val="17"/>
              </w:rPr>
              <w:t>What changed and what can we do next?</w:t>
            </w:r>
          </w:p>
        </w:tc>
        <w:tc>
          <w:tcPr>
            <w:tcW w:type="dxa" w:w="4104"/>
            <w:vAlign w:val="center"/>
            <w:tcMar>
              <w:top w:w="90" w:type="dxa"/>
              <w:start w:w="120" w:type="dxa"/>
              <w:bottom w:w="90" w:type="dxa"/>
              <w:end w:w="120" w:type="dxa"/>
            </w:tcMar>
          </w:tcPr>
          <w:p>
            <w:pPr>
              <w:spacing w:after="0" w:line="259" w:lineRule="auto"/>
            </w:pPr>
            <w:r/>
            <w:r>
              <w:rPr>
                <w:rFonts w:ascii="Calibri" w:hAnsi="Calibri"/>
                <w:b w:val="0"/>
                <w:color w:val="21313C"/>
                <w:sz w:val="17"/>
              </w:rPr>
              <w:t>Transparent, correctable signals—not surveillance</w:t>
            </w:r>
          </w:p>
        </w:tc>
      </w:tr>
    </w:tbl>
    <w:p>
      <w:pPr>
        <w:spacing w:after="20"/>
      </w:pPr>
    </w:p>
    <w:p>
      <w:pPr>
        <w:pStyle w:val="Heading1"/>
      </w:pPr>
      <w:r>
        <w:t>Product principles</w:t>
      </w:r>
    </w:p>
    <w:p>
      <w:pPr>
        <w:pStyle w:val="ListNumber"/>
        <w:spacing w:after="80"/>
        <w:ind w:left="461" w:hanging="288"/>
      </w:pPr>
      <w:r>
        <w:t>Decision-first: every surfaced signal must map to a decision, owner, or follow-up.</w:t>
      </w:r>
    </w:p>
    <w:p>
      <w:pPr>
        <w:pStyle w:val="ListNumber"/>
        <w:spacing w:after="80"/>
        <w:ind w:left="461" w:hanging="288"/>
      </w:pPr>
      <w:r>
        <w:t>Evidence before eloquence: concise narratives must cite Jira fields, change history, or Confluence passages.</w:t>
      </w:r>
    </w:p>
    <w:p>
      <w:pPr>
        <w:pStyle w:val="ListNumber"/>
        <w:spacing w:after="80"/>
        <w:ind w:left="461" w:hanging="288"/>
      </w:pPr>
      <w:r>
        <w:t>Team-safe: evaluate systems and commitments, never infer individual performance or intent.</w:t>
      </w:r>
    </w:p>
    <w:p>
      <w:pPr>
        <w:pStyle w:val="ListNumber"/>
        <w:spacing w:after="80"/>
        <w:ind w:left="461" w:hanging="288"/>
      </w:pPr>
      <w:r>
        <w:t>Configurable semantics: respect each team's workflow, Definition of Done, and operating cadence.</w:t>
      </w:r>
    </w:p>
    <w:p>
      <w:pPr>
        <w:pStyle w:val="ListNumber"/>
        <w:spacing w:after="80"/>
        <w:ind w:left="461" w:hanging="288"/>
      </w:pPr>
      <w:r>
        <w:t>Progressive automation: begin with recommendations; automate actions only after trust and controls mature.</w:t>
      </w:r>
    </w:p>
    <w:p>
      <w:r>
        <w:br w:type="page"/>
      </w:r>
    </w:p>
    <w:p>
      <w:pPr>
        <w:pStyle w:val="Title"/>
      </w:pPr>
      <w:r>
        <w:t>3. The health model</w:t>
      </w:r>
    </w:p>
    <w:p>
      <w:r>
        <w:t>A single opaque score creates false precision. The product should expose a small set of interpretable dimensions, a directional trend, confidence, and the evidence that changed the assessment. A composite health index can support portfolio sorting, but should never hide its components.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944"/>
            <w:vAlign w:val="center"/>
            <w:tcMar>
              <w:top w:w="90" w:type="dxa"/>
              <w:start w:w="120" w:type="dxa"/>
              <w:bottom w:w="90" w:type="dxa"/>
              <w:end w:w="120" w:type="dxa"/>
            </w:tcMar>
            <w:shd w:fill="17324D"/>
          </w:tcPr>
          <w:p>
            <w:pPr>
              <w:spacing w:after="0" w:line="259" w:lineRule="auto"/>
            </w:pPr>
            <w:r/>
            <w:r>
              <w:rPr>
                <w:rFonts w:ascii="Calibri" w:hAnsi="Calibri"/>
                <w:b/>
                <w:color w:val="FFFFFF"/>
                <w:sz w:val="18"/>
              </w:rPr>
              <w:t>Dimension</w:t>
            </w:r>
          </w:p>
        </w:tc>
        <w:tc>
          <w:tcPr>
            <w:tcW w:type="dxa" w:w="4392"/>
            <w:vAlign w:val="center"/>
            <w:tcMar>
              <w:top w:w="90" w:type="dxa"/>
              <w:start w:w="120" w:type="dxa"/>
              <w:bottom w:w="90" w:type="dxa"/>
              <w:end w:w="120" w:type="dxa"/>
            </w:tcMar>
            <w:shd w:fill="17324D"/>
          </w:tcPr>
          <w:p>
            <w:pPr>
              <w:spacing w:after="0" w:line="259" w:lineRule="auto"/>
            </w:pPr>
            <w:r/>
            <w:r>
              <w:rPr>
                <w:rFonts w:ascii="Calibri" w:hAnsi="Calibri"/>
                <w:b/>
                <w:color w:val="FFFFFF"/>
                <w:sz w:val="18"/>
              </w:rPr>
              <w:t>Example signals</w:t>
            </w:r>
          </w:p>
        </w:tc>
        <w:tc>
          <w:tcPr>
            <w:tcW w:type="dxa" w:w="3024"/>
            <w:vAlign w:val="center"/>
            <w:tcMar>
              <w:top w:w="90" w:type="dxa"/>
              <w:start w:w="120" w:type="dxa"/>
              <w:bottom w:w="90" w:type="dxa"/>
              <w:end w:w="120" w:type="dxa"/>
            </w:tcMar>
            <w:shd w:fill="17324D"/>
          </w:tcPr>
          <w:p>
            <w:pPr>
              <w:spacing w:after="0" w:line="259" w:lineRule="auto"/>
            </w:pPr>
            <w:r/>
            <w:r>
              <w:rPr>
                <w:rFonts w:ascii="Calibri" w:hAnsi="Calibri"/>
                <w:b/>
                <w:color w:val="FFFFFF"/>
                <w:sz w:val="18"/>
              </w:rPr>
              <w:t>Decision enabled</w:t>
            </w:r>
          </w:p>
        </w:tc>
      </w:tr>
      <w:tr>
        <w:tc>
          <w:tcPr>
            <w:tcW w:type="dxa" w:w="1944"/>
            <w:vAlign w:val="center"/>
            <w:tcMar>
              <w:top w:w="90" w:type="dxa"/>
              <w:start w:w="120" w:type="dxa"/>
              <w:bottom w:w="90" w:type="dxa"/>
              <w:end w:w="120" w:type="dxa"/>
            </w:tcMar>
          </w:tcPr>
          <w:p>
            <w:pPr>
              <w:spacing w:after="0" w:line="259" w:lineRule="auto"/>
            </w:pPr>
            <w:r/>
            <w:r>
              <w:rPr>
                <w:rFonts w:ascii="Calibri" w:hAnsi="Calibri"/>
                <w:b w:val="0"/>
                <w:color w:val="21313C"/>
                <w:sz w:val="17"/>
              </w:rPr>
              <w:t>Goal confidence</w:t>
            </w:r>
          </w:p>
        </w:tc>
        <w:tc>
          <w:tcPr>
            <w:tcW w:type="dxa" w:w="4392"/>
            <w:vAlign w:val="center"/>
            <w:tcMar>
              <w:top w:w="90" w:type="dxa"/>
              <w:start w:w="120" w:type="dxa"/>
              <w:bottom w:w="90" w:type="dxa"/>
              <w:end w:w="120" w:type="dxa"/>
            </w:tcMar>
          </w:tcPr>
          <w:p>
            <w:pPr>
              <w:spacing w:after="0" w:line="259" w:lineRule="auto"/>
            </w:pPr>
            <w:r/>
            <w:r>
              <w:rPr>
                <w:rFonts w:ascii="Calibri" w:hAnsi="Calibri"/>
                <w:b w:val="0"/>
                <w:color w:val="21313C"/>
                <w:sz w:val="17"/>
              </w:rPr>
              <w:t>Sprint goal coverage; critical scope state; acceptance readiness</w:t>
            </w:r>
          </w:p>
        </w:tc>
        <w:tc>
          <w:tcPr>
            <w:tcW w:type="dxa" w:w="3024"/>
            <w:vAlign w:val="center"/>
            <w:tcMar>
              <w:top w:w="90" w:type="dxa"/>
              <w:start w:w="120" w:type="dxa"/>
              <w:bottom w:w="90" w:type="dxa"/>
              <w:end w:w="120" w:type="dxa"/>
            </w:tcMar>
          </w:tcPr>
          <w:p>
            <w:pPr>
              <w:spacing w:after="0" w:line="259" w:lineRule="auto"/>
            </w:pPr>
            <w:r/>
            <w:r>
              <w:rPr>
                <w:rFonts w:ascii="Calibri" w:hAnsi="Calibri"/>
                <w:b w:val="0"/>
                <w:color w:val="21313C"/>
                <w:sz w:val="17"/>
              </w:rPr>
              <w:t>Re-scope, swarm, or protect goal</w:t>
            </w:r>
          </w:p>
        </w:tc>
      </w:tr>
      <w:tr>
        <w:tc>
          <w:tcPr>
            <w:tcW w:type="dxa" w:w="1944"/>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Flow health</w:t>
            </w:r>
          </w:p>
        </w:tc>
        <w:tc>
          <w:tcPr>
            <w:tcW w:type="dxa" w:w="439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Cycle-time shift; WIP age; blocked duration; carryover</w:t>
            </w:r>
          </w:p>
        </w:tc>
        <w:tc>
          <w:tcPr>
            <w:tcW w:type="dxa" w:w="3024"/>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Remove bottleneck or reduce WIP</w:t>
            </w:r>
          </w:p>
        </w:tc>
      </w:tr>
      <w:tr>
        <w:tc>
          <w:tcPr>
            <w:tcW w:type="dxa" w:w="1944"/>
            <w:vAlign w:val="center"/>
            <w:tcMar>
              <w:top w:w="90" w:type="dxa"/>
              <w:start w:w="120" w:type="dxa"/>
              <w:bottom w:w="90" w:type="dxa"/>
              <w:end w:w="120" w:type="dxa"/>
            </w:tcMar>
          </w:tcPr>
          <w:p>
            <w:pPr>
              <w:spacing w:after="0" w:line="259" w:lineRule="auto"/>
            </w:pPr>
            <w:r/>
            <w:r>
              <w:rPr>
                <w:rFonts w:ascii="Calibri" w:hAnsi="Calibri"/>
                <w:b w:val="0"/>
                <w:color w:val="21313C"/>
                <w:sz w:val="17"/>
              </w:rPr>
              <w:t>Predictability</w:t>
            </w:r>
          </w:p>
        </w:tc>
        <w:tc>
          <w:tcPr>
            <w:tcW w:type="dxa" w:w="4392"/>
            <w:vAlign w:val="center"/>
            <w:tcMar>
              <w:top w:w="90" w:type="dxa"/>
              <w:start w:w="120" w:type="dxa"/>
              <w:bottom w:w="90" w:type="dxa"/>
              <w:end w:w="120" w:type="dxa"/>
            </w:tcMar>
          </w:tcPr>
          <w:p>
            <w:pPr>
              <w:spacing w:after="0" w:line="259" w:lineRule="auto"/>
            </w:pPr>
            <w:r/>
            <w:r>
              <w:rPr>
                <w:rFonts w:ascii="Calibri" w:hAnsi="Calibri"/>
                <w:b w:val="0"/>
                <w:color w:val="21313C"/>
                <w:sz w:val="17"/>
              </w:rPr>
              <w:t>Commitment volatility; completion forecast; historical calibration</w:t>
            </w:r>
          </w:p>
        </w:tc>
        <w:tc>
          <w:tcPr>
            <w:tcW w:type="dxa" w:w="3024"/>
            <w:vAlign w:val="center"/>
            <w:tcMar>
              <w:top w:w="90" w:type="dxa"/>
              <w:start w:w="120" w:type="dxa"/>
              <w:bottom w:w="90" w:type="dxa"/>
              <w:end w:w="120" w:type="dxa"/>
            </w:tcMar>
          </w:tcPr>
          <w:p>
            <w:pPr>
              <w:spacing w:after="0" w:line="259" w:lineRule="auto"/>
            </w:pPr>
            <w:r/>
            <w:r>
              <w:rPr>
                <w:rFonts w:ascii="Calibri" w:hAnsi="Calibri"/>
                <w:b w:val="0"/>
                <w:color w:val="21313C"/>
                <w:sz w:val="17"/>
              </w:rPr>
              <w:t>Reset expectation or change plan</w:t>
            </w:r>
          </w:p>
        </w:tc>
      </w:tr>
      <w:tr>
        <w:tc>
          <w:tcPr>
            <w:tcW w:type="dxa" w:w="1944"/>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Dependency exposure</w:t>
            </w:r>
          </w:p>
        </w:tc>
        <w:tc>
          <w:tcPr>
            <w:tcW w:type="dxa" w:w="439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Unresolved predecessors; owner/date gaps; critical-path slack</w:t>
            </w:r>
          </w:p>
        </w:tc>
        <w:tc>
          <w:tcPr>
            <w:tcW w:type="dxa" w:w="3024"/>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Escalate, sequence, or decouple</w:t>
            </w:r>
          </w:p>
        </w:tc>
      </w:tr>
      <w:tr>
        <w:tc>
          <w:tcPr>
            <w:tcW w:type="dxa" w:w="1944"/>
            <w:vAlign w:val="center"/>
            <w:tcMar>
              <w:top w:w="90" w:type="dxa"/>
              <w:start w:w="120" w:type="dxa"/>
              <w:bottom w:w="90" w:type="dxa"/>
              <w:end w:w="120" w:type="dxa"/>
            </w:tcMar>
          </w:tcPr>
          <w:p>
            <w:pPr>
              <w:spacing w:after="0" w:line="259" w:lineRule="auto"/>
            </w:pPr>
            <w:r/>
            <w:r>
              <w:rPr>
                <w:rFonts w:ascii="Calibri" w:hAnsi="Calibri"/>
                <w:b w:val="0"/>
                <w:color w:val="21313C"/>
                <w:sz w:val="17"/>
              </w:rPr>
              <w:t>Quality/readiness</w:t>
            </w:r>
          </w:p>
        </w:tc>
        <w:tc>
          <w:tcPr>
            <w:tcW w:type="dxa" w:w="4392"/>
            <w:vAlign w:val="center"/>
            <w:tcMar>
              <w:top w:w="90" w:type="dxa"/>
              <w:start w:w="120" w:type="dxa"/>
              <w:bottom w:w="90" w:type="dxa"/>
              <w:end w:w="120" w:type="dxa"/>
            </w:tcMar>
          </w:tcPr>
          <w:p>
            <w:pPr>
              <w:spacing w:after="0" w:line="259" w:lineRule="auto"/>
            </w:pPr>
            <w:r/>
            <w:r>
              <w:rPr>
                <w:rFonts w:ascii="Calibri" w:hAnsi="Calibri"/>
                <w:b w:val="0"/>
                <w:color w:val="21313C"/>
                <w:sz w:val="17"/>
              </w:rPr>
              <w:t>Reopen trend; defect burden; unresolved release criteria</w:t>
            </w:r>
          </w:p>
        </w:tc>
        <w:tc>
          <w:tcPr>
            <w:tcW w:type="dxa" w:w="3024"/>
            <w:vAlign w:val="center"/>
            <w:tcMar>
              <w:top w:w="90" w:type="dxa"/>
              <w:start w:w="120" w:type="dxa"/>
              <w:bottom w:w="90" w:type="dxa"/>
              <w:end w:w="120" w:type="dxa"/>
            </w:tcMar>
          </w:tcPr>
          <w:p>
            <w:pPr>
              <w:spacing w:after="0" w:line="259" w:lineRule="auto"/>
            </w:pPr>
            <w:r/>
            <w:r>
              <w:rPr>
                <w:rFonts w:ascii="Calibri" w:hAnsi="Calibri"/>
                <w:b w:val="0"/>
                <w:color w:val="21313C"/>
                <w:sz w:val="17"/>
              </w:rPr>
              <w:t>Harden, delay, or adjust launch</w:t>
            </w:r>
          </w:p>
        </w:tc>
      </w:tr>
      <w:tr>
        <w:tc>
          <w:tcPr>
            <w:tcW w:type="dxa" w:w="1944"/>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Alignment hygiene</w:t>
            </w:r>
          </w:p>
        </w:tc>
        <w:tc>
          <w:tcPr>
            <w:tcW w:type="dxa" w:w="439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Goal freshness; decision recency; Jira/Confluence contradiction</w:t>
            </w:r>
          </w:p>
        </w:tc>
        <w:tc>
          <w:tcPr>
            <w:tcW w:type="dxa" w:w="3024"/>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Clarify goal or update source</w:t>
            </w:r>
          </w:p>
        </w:tc>
      </w:tr>
    </w:tbl>
    <w:p>
      <w:pPr>
        <w:spacing w:after="20"/>
      </w:pPr>
    </w:p>
    <w:p>
      <w:pPr>
        <w:pStyle w:val="Heading1"/>
      </w:pPr>
      <w:r>
        <w:t>Transparent scoring</w:t>
      </w:r>
    </w:p>
    <w:p>
      <w:r>
        <w:t>For dimension d at time t, normalize each signal to a 0–100 risk scale and compute:</w:t>
      </w:r>
    </w:p>
    <w:p>
      <w:pPr>
        <w:jc w:val="center"/>
      </w:pPr>
      <w:r>
        <w:rPr>
          <w:b/>
          <w:color w:val="17324D"/>
          <w:sz w:val="26"/>
        </w:rPr>
        <w:t>Risk(d,t) = Σ wᵢ × signalᵢ(t)     |     Health = 100 − Risk</w:t>
      </w:r>
    </w:p>
    <w:p>
      <w:r>
        <w:t>Weights are organization-configurable and validated against historical outcomes. The product displays the top contributing signals, change since the prior observation, data freshness, and model confidence. Portfolio rollups weight outcome exposure—not team size or story-point volume.</w:t>
      </w:r>
    </w:p>
    <w:p>
      <w:pPr>
        <w:pStyle w:val="Heading1"/>
      </w:pPr>
      <w:r>
        <w:t>Dependency risk</w:t>
      </w:r>
    </w:p>
    <w:p>
      <w:r>
        <w:t>Represent initiatives, epics, releases, and key work items as a directed graph. For dependency edge e:</w:t>
      </w:r>
    </w:p>
    <w:p>
      <w:pPr>
        <w:jc w:val="center"/>
      </w:pPr>
      <w:r>
        <w:rPr>
          <w:b/>
          <w:color w:val="17324D"/>
        </w:rPr>
        <w:t>Exposure(e) = P(delay) × Impact × Criticality × (1 − Mitigation coverage)</w:t>
      </w:r>
    </w:p>
    <w:p>
      <w:r>
        <w:t>AI may propose missing edges from text and behavior, but a proposed dependency remains unconfirmed until an authorized user validates it. Criticality is derived from path slack and downstream reach; impact is tied to a product goal, release, or customer commitment.</w:t>
      </w:r>
    </w:p>
    <w:p>
      <w:r>
        <w:br w:type="page"/>
      </w:r>
    </w:p>
    <w:p>
      <w:pPr>
        <w:pStyle w:val="Title"/>
      </w:pPr>
      <w:r>
        <w:t>4. Experience: insight to action</w:t>
      </w:r>
    </w:p>
    <w:p>
      <w:pPr>
        <w:pStyle w:val="Heading1"/>
      </w:pPr>
      <w:r>
        <w:t>Team health brief</w:t>
      </w:r>
    </w:p>
    <w:p>
      <w:r>
        <w:t>A daily or on-demand brief shows what changed, why it matters, and what requires attention. It emphasizes the sprint goal, not raw completion. Each statement links to evidence and supports confirm, dismiss, annotate, or assign actions.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448"/>
            <w:vAlign w:val="center"/>
            <w:tcMar>
              <w:top w:w="90" w:type="dxa"/>
              <w:start w:w="120" w:type="dxa"/>
              <w:bottom w:w="90" w:type="dxa"/>
              <w:end w:w="120" w:type="dxa"/>
            </w:tcMar>
            <w:shd w:fill="17324D"/>
          </w:tcPr>
          <w:p>
            <w:pPr>
              <w:spacing w:after="0" w:line="259" w:lineRule="auto"/>
            </w:pPr>
            <w:r/>
            <w:r>
              <w:rPr>
                <w:rFonts w:ascii="Calibri" w:hAnsi="Calibri"/>
                <w:b/>
                <w:color w:val="FFFFFF"/>
                <w:sz w:val="18"/>
              </w:rPr>
              <w:t>Signal</w:t>
            </w:r>
          </w:p>
        </w:tc>
        <w:tc>
          <w:tcPr>
            <w:tcW w:type="dxa" w:w="3888"/>
            <w:vAlign w:val="center"/>
            <w:tcMar>
              <w:top w:w="90" w:type="dxa"/>
              <w:start w:w="120" w:type="dxa"/>
              <w:bottom w:w="90" w:type="dxa"/>
              <w:end w:w="120" w:type="dxa"/>
            </w:tcMar>
            <w:shd w:fill="17324D"/>
          </w:tcPr>
          <w:p>
            <w:pPr>
              <w:spacing w:after="0" w:line="259" w:lineRule="auto"/>
            </w:pPr>
            <w:r/>
            <w:r>
              <w:rPr>
                <w:rFonts w:ascii="Calibri" w:hAnsi="Calibri"/>
                <w:b/>
                <w:color w:val="FFFFFF"/>
                <w:sz w:val="18"/>
              </w:rPr>
              <w:t>Evidence</w:t>
            </w:r>
          </w:p>
        </w:tc>
        <w:tc>
          <w:tcPr>
            <w:tcW w:type="dxa" w:w="3024"/>
            <w:vAlign w:val="center"/>
            <w:tcMar>
              <w:top w:w="90" w:type="dxa"/>
              <w:start w:w="120" w:type="dxa"/>
              <w:bottom w:w="90" w:type="dxa"/>
              <w:end w:w="120" w:type="dxa"/>
            </w:tcMar>
            <w:shd w:fill="17324D"/>
          </w:tcPr>
          <w:p>
            <w:pPr>
              <w:spacing w:after="0" w:line="259" w:lineRule="auto"/>
            </w:pPr>
            <w:r/>
            <w:r>
              <w:rPr>
                <w:rFonts w:ascii="Calibri" w:hAnsi="Calibri"/>
                <w:b/>
                <w:color w:val="FFFFFF"/>
                <w:sz w:val="18"/>
              </w:rPr>
              <w:t>Suggested response</w:t>
            </w:r>
          </w:p>
        </w:tc>
      </w:tr>
      <w:tr>
        <w:tc>
          <w:tcPr>
            <w:tcW w:type="dxa" w:w="2448"/>
            <w:vAlign w:val="center"/>
            <w:tcMar>
              <w:top w:w="90" w:type="dxa"/>
              <w:start w:w="120" w:type="dxa"/>
              <w:bottom w:w="90" w:type="dxa"/>
              <w:end w:w="120" w:type="dxa"/>
            </w:tcMar>
          </w:tcPr>
          <w:p>
            <w:pPr>
              <w:spacing w:after="0" w:line="259" w:lineRule="auto"/>
            </w:pPr>
            <w:r/>
            <w:r>
              <w:rPr>
                <w:rFonts w:ascii="Calibri" w:hAnsi="Calibri"/>
                <w:b w:val="0"/>
                <w:color w:val="21313C"/>
                <w:sz w:val="17"/>
              </w:rPr>
              <w:t>Sprint-goal confidence fell from high to medium</w:t>
            </w:r>
          </w:p>
        </w:tc>
        <w:tc>
          <w:tcPr>
            <w:tcW w:type="dxa" w:w="3888"/>
            <w:vAlign w:val="center"/>
            <w:tcMar>
              <w:top w:w="90" w:type="dxa"/>
              <w:start w:w="120" w:type="dxa"/>
              <w:bottom w:w="90" w:type="dxa"/>
              <w:end w:w="120" w:type="dxa"/>
            </w:tcMar>
          </w:tcPr>
          <w:p>
            <w:pPr>
              <w:spacing w:after="0" w:line="259" w:lineRule="auto"/>
            </w:pPr>
            <w:r/>
            <w:r>
              <w:rPr>
                <w:rFonts w:ascii="Calibri" w:hAnsi="Calibri"/>
                <w:b w:val="0"/>
                <w:color w:val="21313C"/>
                <w:sz w:val="17"/>
              </w:rPr>
              <w:t>Two goal-critical items blocked &gt;48h; test environment date moved</w:t>
            </w:r>
          </w:p>
        </w:tc>
        <w:tc>
          <w:tcPr>
            <w:tcW w:type="dxa" w:w="3024"/>
            <w:vAlign w:val="center"/>
            <w:tcMar>
              <w:top w:w="90" w:type="dxa"/>
              <w:start w:w="120" w:type="dxa"/>
              <w:bottom w:w="90" w:type="dxa"/>
              <w:end w:w="120" w:type="dxa"/>
            </w:tcMar>
          </w:tcPr>
          <w:p>
            <w:pPr>
              <w:spacing w:after="0" w:line="259" w:lineRule="auto"/>
            </w:pPr>
            <w:r/>
            <w:r>
              <w:rPr>
                <w:rFonts w:ascii="Calibri" w:hAnsi="Calibri"/>
                <w:b w:val="0"/>
                <w:color w:val="21313C"/>
                <w:sz w:val="17"/>
              </w:rPr>
              <w:t>Validate environment recovery; identify decoupling option</w:t>
            </w:r>
          </w:p>
        </w:tc>
      </w:tr>
      <w:tr>
        <w:tc>
          <w:tcPr>
            <w:tcW w:type="dxa" w:w="2448"/>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Carryover risk increased</w:t>
            </w:r>
          </w:p>
        </w:tc>
        <w:tc>
          <w:tcPr>
            <w:tcW w:type="dxa" w:w="3888"/>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Three items exceed the team's calibrated cycle-time range</w:t>
            </w:r>
          </w:p>
        </w:tc>
        <w:tc>
          <w:tcPr>
            <w:tcW w:type="dxa" w:w="3024"/>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Swarm on oldest goal-critical item; de-scope non-goal work</w:t>
            </w:r>
          </w:p>
        </w:tc>
      </w:tr>
      <w:tr>
        <w:tc>
          <w:tcPr>
            <w:tcW w:type="dxa" w:w="2448"/>
            <w:vAlign w:val="center"/>
            <w:tcMar>
              <w:top w:w="90" w:type="dxa"/>
              <w:start w:w="120" w:type="dxa"/>
              <w:bottom w:w="90" w:type="dxa"/>
              <w:end w:w="120" w:type="dxa"/>
            </w:tcMar>
          </w:tcPr>
          <w:p>
            <w:pPr>
              <w:spacing w:after="0" w:line="259" w:lineRule="auto"/>
            </w:pPr>
            <w:r/>
            <w:r>
              <w:rPr>
                <w:rFonts w:ascii="Calibri" w:hAnsi="Calibri"/>
                <w:b w:val="0"/>
                <w:color w:val="21313C"/>
                <w:sz w:val="17"/>
              </w:rPr>
              <w:t>Dependency needs confirmation</w:t>
            </w:r>
          </w:p>
        </w:tc>
        <w:tc>
          <w:tcPr>
            <w:tcW w:type="dxa" w:w="3888"/>
            <w:vAlign w:val="center"/>
            <w:tcMar>
              <w:top w:w="90" w:type="dxa"/>
              <w:start w:w="120" w:type="dxa"/>
              <w:bottom w:w="90" w:type="dxa"/>
              <w:end w:w="120" w:type="dxa"/>
            </w:tcMar>
          </w:tcPr>
          <w:p>
            <w:pPr>
              <w:spacing w:after="0" w:line="259" w:lineRule="auto"/>
            </w:pPr>
            <w:r/>
            <w:r>
              <w:rPr>
                <w:rFonts w:ascii="Calibri" w:hAnsi="Calibri"/>
                <w:b w:val="0"/>
                <w:color w:val="21313C"/>
                <w:sz w:val="17"/>
              </w:rPr>
              <w:t>Confluence launch plan names Identity API; no Jira link exists</w:t>
            </w:r>
          </w:p>
        </w:tc>
        <w:tc>
          <w:tcPr>
            <w:tcW w:type="dxa" w:w="3024"/>
            <w:vAlign w:val="center"/>
            <w:tcMar>
              <w:top w:w="90" w:type="dxa"/>
              <w:start w:w="120" w:type="dxa"/>
              <w:bottom w:w="90" w:type="dxa"/>
              <w:end w:w="120" w:type="dxa"/>
            </w:tcMar>
          </w:tcPr>
          <w:p>
            <w:pPr>
              <w:spacing w:after="0" w:line="259" w:lineRule="auto"/>
            </w:pPr>
            <w:r/>
            <w:r>
              <w:rPr>
                <w:rFonts w:ascii="Calibri" w:hAnsi="Calibri"/>
                <w:b w:val="0"/>
                <w:color w:val="21313C"/>
                <w:sz w:val="17"/>
              </w:rPr>
              <w:t>Confirm owner, required-by date, and dependency edge</w:t>
            </w:r>
          </w:p>
        </w:tc>
      </w:tr>
    </w:tbl>
    <w:p>
      <w:pPr>
        <w:spacing w:after="20"/>
      </w:pPr>
    </w:p>
    <w:p>
      <w:pPr>
        <w:pStyle w:val="Heading1"/>
      </w:pPr>
      <w:r>
        <w:t>Executive product view</w:t>
      </w:r>
    </w:p>
    <w:p>
      <w:pPr>
        <w:pStyle w:val="ListBullet"/>
        <w:spacing w:after="80"/>
        <w:ind w:left="403" w:hanging="259"/>
      </w:pPr>
      <w:r>
        <w:t>Outcome map: product goals → releases → initiatives → teams, with health and confidence at each level.</w:t>
      </w:r>
    </w:p>
    <w:p>
      <w:pPr>
        <w:pStyle w:val="ListBullet"/>
        <w:spacing w:after="80"/>
        <w:ind w:left="403" w:hanging="259"/>
      </w:pPr>
      <w:r>
        <w:t>Exception queue: only material changes, ranked by exposure and intervention leverage.</w:t>
      </w:r>
    </w:p>
    <w:p>
      <w:pPr>
        <w:pStyle w:val="ListBullet"/>
        <w:spacing w:after="80"/>
        <w:ind w:left="403" w:hanging="259"/>
      </w:pPr>
      <w:r>
        <w:t>Dependency pathways: cross-team risks with owner, required-by date, slack, and mitigation status.</w:t>
      </w:r>
    </w:p>
    <w:p>
      <w:pPr>
        <w:pStyle w:val="ListBullet"/>
        <w:spacing w:after="80"/>
        <w:ind w:left="403" w:hanging="259"/>
      </w:pPr>
      <w:r>
        <w:t>Narrative brief: what changed, business impact, decisions required, and evidence links.</w:t>
      </w:r>
    </w:p>
    <w:p>
      <w:pPr>
        <w:pStyle w:val="ListBullet"/>
        <w:spacing w:after="80"/>
        <w:ind w:left="403" w:hanging="259"/>
      </w:pPr>
      <w:r>
        <w:t>Trend and calibration: whether previous warnings were accurate and whether mitigations worked.</w:t>
      </w:r>
    </w:p>
    <w:p>
      <w:pPr>
        <w:pStyle w:val="Heading1"/>
      </w:pPr>
      <w:r>
        <w:t>The closed-loop workflow</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333"/>
            <w:vAlign w:val="center"/>
            <w:tcMar>
              <w:top w:w="90" w:type="dxa"/>
              <w:start w:w="120" w:type="dxa"/>
              <w:bottom w:w="90" w:type="dxa"/>
              <w:end w:w="120" w:type="dxa"/>
            </w:tcMar>
            <w:shd w:fill="2A9D8F"/>
          </w:tcPr>
          <w:p>
            <w:pPr>
              <w:spacing w:after="0" w:line="259" w:lineRule="auto"/>
            </w:pPr>
            <w:r/>
            <w:r>
              <w:rPr>
                <w:rFonts w:ascii="Calibri" w:hAnsi="Calibri"/>
                <w:b/>
                <w:color w:val="FFFFFF"/>
                <w:sz w:val="18"/>
              </w:rPr>
              <w:t>Observe</w:t>
            </w:r>
          </w:p>
        </w:tc>
        <w:tc>
          <w:tcPr>
            <w:tcW w:type="dxa" w:w="2333"/>
            <w:vAlign w:val="center"/>
            <w:tcMar>
              <w:top w:w="90" w:type="dxa"/>
              <w:start w:w="120" w:type="dxa"/>
              <w:bottom w:w="90" w:type="dxa"/>
              <w:end w:w="120" w:type="dxa"/>
            </w:tcMar>
            <w:shd w:fill="2A9D8F"/>
          </w:tcPr>
          <w:p>
            <w:pPr>
              <w:spacing w:after="0" w:line="259" w:lineRule="auto"/>
            </w:pPr>
            <w:r/>
            <w:r>
              <w:rPr>
                <w:rFonts w:ascii="Calibri" w:hAnsi="Calibri"/>
                <w:b/>
                <w:color w:val="FFFFFF"/>
                <w:sz w:val="18"/>
              </w:rPr>
              <w:t>Interpret</w:t>
            </w:r>
          </w:p>
        </w:tc>
        <w:tc>
          <w:tcPr>
            <w:tcW w:type="dxa" w:w="2333"/>
            <w:vAlign w:val="center"/>
            <w:tcMar>
              <w:top w:w="90" w:type="dxa"/>
              <w:start w:w="120" w:type="dxa"/>
              <w:bottom w:w="90" w:type="dxa"/>
              <w:end w:w="120" w:type="dxa"/>
            </w:tcMar>
            <w:shd w:fill="2A9D8F"/>
          </w:tcPr>
          <w:p>
            <w:pPr>
              <w:spacing w:after="0" w:line="259" w:lineRule="auto"/>
            </w:pPr>
            <w:r/>
            <w:r>
              <w:rPr>
                <w:rFonts w:ascii="Calibri" w:hAnsi="Calibri"/>
                <w:b/>
                <w:color w:val="FFFFFF"/>
                <w:sz w:val="18"/>
              </w:rPr>
              <w:t>Decide</w:t>
            </w:r>
          </w:p>
        </w:tc>
        <w:tc>
          <w:tcPr>
            <w:tcW w:type="dxa" w:w="2362"/>
            <w:vAlign w:val="center"/>
            <w:tcMar>
              <w:top w:w="90" w:type="dxa"/>
              <w:start w:w="120" w:type="dxa"/>
              <w:bottom w:w="90" w:type="dxa"/>
              <w:end w:w="120" w:type="dxa"/>
            </w:tcMar>
            <w:shd w:fill="2A9D8F"/>
          </w:tcPr>
          <w:p>
            <w:pPr>
              <w:spacing w:after="0" w:line="259" w:lineRule="auto"/>
            </w:pPr>
            <w:r/>
            <w:r>
              <w:rPr>
                <w:rFonts w:ascii="Calibri" w:hAnsi="Calibri"/>
                <w:b/>
                <w:color w:val="FFFFFF"/>
                <w:sz w:val="18"/>
              </w:rPr>
              <w:t>Learn</w:t>
            </w:r>
          </w:p>
        </w:tc>
      </w:tr>
      <w:tr>
        <w:tc>
          <w:tcPr>
            <w:tcW w:type="dxa" w:w="2333"/>
            <w:vAlign w:val="center"/>
            <w:tcMar>
              <w:top w:w="90" w:type="dxa"/>
              <w:start w:w="120" w:type="dxa"/>
              <w:bottom w:w="90" w:type="dxa"/>
              <w:end w:w="120" w:type="dxa"/>
            </w:tcMar>
          </w:tcPr>
          <w:p>
            <w:pPr>
              <w:spacing w:after="0" w:line="259" w:lineRule="auto"/>
            </w:pPr>
            <w:r/>
            <w:r>
              <w:rPr>
                <w:rFonts w:ascii="Calibri" w:hAnsi="Calibri"/>
                <w:b w:val="0"/>
                <w:color w:val="21313C"/>
                <w:sz w:val="17"/>
              </w:rPr>
              <w:t>Ingest Jira changes and approved Confluence context</w:t>
            </w:r>
          </w:p>
        </w:tc>
        <w:tc>
          <w:tcPr>
            <w:tcW w:type="dxa" w:w="2333"/>
            <w:vAlign w:val="center"/>
            <w:tcMar>
              <w:top w:w="90" w:type="dxa"/>
              <w:start w:w="120" w:type="dxa"/>
              <w:bottom w:w="90" w:type="dxa"/>
              <w:end w:w="120" w:type="dxa"/>
            </w:tcMar>
          </w:tcPr>
          <w:p>
            <w:pPr>
              <w:spacing w:after="0" w:line="259" w:lineRule="auto"/>
            </w:pPr>
            <w:r/>
            <w:r>
              <w:rPr>
                <w:rFonts w:ascii="Calibri" w:hAnsi="Calibri"/>
                <w:b w:val="0"/>
                <w:color w:val="21313C"/>
                <w:sz w:val="17"/>
              </w:rPr>
              <w:t>Rules + models score signals and explain drivers</w:t>
            </w:r>
          </w:p>
        </w:tc>
        <w:tc>
          <w:tcPr>
            <w:tcW w:type="dxa" w:w="2333"/>
            <w:vAlign w:val="center"/>
            <w:tcMar>
              <w:top w:w="90" w:type="dxa"/>
              <w:start w:w="120" w:type="dxa"/>
              <w:bottom w:w="90" w:type="dxa"/>
              <w:end w:w="120" w:type="dxa"/>
            </w:tcMar>
          </w:tcPr>
          <w:p>
            <w:pPr>
              <w:spacing w:after="0" w:line="259" w:lineRule="auto"/>
            </w:pPr>
            <w:r/>
            <w:r>
              <w:rPr>
                <w:rFonts w:ascii="Calibri" w:hAnsi="Calibri"/>
                <w:b w:val="0"/>
                <w:color w:val="21313C"/>
                <w:sz w:val="17"/>
              </w:rPr>
              <w:t>User confirms, assigns, mitigates, or dismisses</w:t>
            </w:r>
          </w:p>
        </w:tc>
        <w:tc>
          <w:tcPr>
            <w:tcW w:type="dxa" w:w="2362"/>
            <w:vAlign w:val="center"/>
            <w:tcMar>
              <w:top w:w="90" w:type="dxa"/>
              <w:start w:w="120" w:type="dxa"/>
              <w:bottom w:w="90" w:type="dxa"/>
              <w:end w:w="120" w:type="dxa"/>
            </w:tcMar>
          </w:tcPr>
          <w:p>
            <w:pPr>
              <w:spacing w:after="0" w:line="259" w:lineRule="auto"/>
            </w:pPr>
            <w:r/>
            <w:r>
              <w:rPr>
                <w:rFonts w:ascii="Calibri" w:hAnsi="Calibri"/>
                <w:b w:val="0"/>
                <w:color w:val="21313C"/>
                <w:sz w:val="17"/>
              </w:rPr>
              <w:t>Outcome and feedback recalibrate thresholds</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shd w:fill="EAF4F5"/>
            <w:tcMar>
              <w:top w:w="150" w:type="dxa"/>
              <w:start w:w="180" w:type="dxa"/>
              <w:bottom w:w="150" w:type="dxa"/>
              <w:end w:w="180" w:type="dxa"/>
            </w:tcMar>
          </w:tcPr>
          <w:p>
            <w:pPr>
              <w:spacing w:after="40"/>
            </w:pPr>
            <w:r/>
            <w:r>
              <w:rPr>
                <w:b/>
                <w:color w:val="2A9D8F"/>
                <w:sz w:val="18"/>
              </w:rPr>
              <w:t xml:space="preserve">KEY UX RULE  </w:t>
            </w:r>
            <w:r>
              <w:rPr>
                <w:b/>
                <w:color w:val="17324D"/>
                <w:sz w:val="22"/>
              </w:rPr>
              <w:t>Never generate a red status without showing: the affected outcome, material evidence, confidence, change driver, and next responsible action.</w:t>
            </w:r>
          </w:p>
        </w:tc>
      </w:tr>
    </w:tbl>
    <w:p>
      <w:pPr>
        <w:spacing w:after="20"/>
      </w:pPr>
    </w:p>
    <w:p>
      <w:r>
        <w:br w:type="page"/>
      </w:r>
    </w:p>
    <w:p>
      <w:pPr>
        <w:pStyle w:val="Title"/>
      </w:pPr>
      <w:r>
        <w:t>5. AI and data architecture</w:t>
      </w:r>
    </w:p>
    <w:p>
      <w:r>
        <w:t>The architecture combines deterministic analytics with probabilistic AI. Rules and statistical models handle measurable state; language models extract context and draft narratives. This separation improves reproducibility, cost control, and trust.</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800"/>
            <w:vAlign w:val="center"/>
            <w:tcMar>
              <w:top w:w="90" w:type="dxa"/>
              <w:start w:w="120" w:type="dxa"/>
              <w:bottom w:w="90" w:type="dxa"/>
              <w:end w:w="120" w:type="dxa"/>
            </w:tcMar>
            <w:shd w:fill="17324D"/>
          </w:tcPr>
          <w:p>
            <w:pPr>
              <w:spacing w:after="0" w:line="259" w:lineRule="auto"/>
            </w:pPr>
            <w:r/>
            <w:r>
              <w:rPr>
                <w:rFonts w:ascii="Calibri" w:hAnsi="Calibri"/>
                <w:b/>
                <w:color w:val="FFFFFF"/>
                <w:sz w:val="18"/>
              </w:rPr>
              <w:t>Layer</w:t>
            </w:r>
          </w:p>
        </w:tc>
        <w:tc>
          <w:tcPr>
            <w:tcW w:type="dxa" w:w="3672"/>
            <w:vAlign w:val="center"/>
            <w:tcMar>
              <w:top w:w="90" w:type="dxa"/>
              <w:start w:w="120" w:type="dxa"/>
              <w:bottom w:w="90" w:type="dxa"/>
              <w:end w:w="120" w:type="dxa"/>
            </w:tcMar>
            <w:shd w:fill="17324D"/>
          </w:tcPr>
          <w:p>
            <w:pPr>
              <w:spacing w:after="0" w:line="259" w:lineRule="auto"/>
            </w:pPr>
            <w:r/>
            <w:r>
              <w:rPr>
                <w:rFonts w:ascii="Calibri" w:hAnsi="Calibri"/>
                <w:b/>
                <w:color w:val="FFFFFF"/>
                <w:sz w:val="18"/>
              </w:rPr>
              <w:t>Responsibility</w:t>
            </w:r>
          </w:p>
        </w:tc>
        <w:tc>
          <w:tcPr>
            <w:tcW w:type="dxa" w:w="3888"/>
            <w:vAlign w:val="center"/>
            <w:tcMar>
              <w:top w:w="90" w:type="dxa"/>
              <w:start w:w="120" w:type="dxa"/>
              <w:bottom w:w="90" w:type="dxa"/>
              <w:end w:w="120" w:type="dxa"/>
            </w:tcMar>
            <w:shd w:fill="17324D"/>
          </w:tcPr>
          <w:p>
            <w:pPr>
              <w:spacing w:after="0" w:line="259" w:lineRule="auto"/>
            </w:pPr>
            <w:r/>
            <w:r>
              <w:rPr>
                <w:rFonts w:ascii="Calibri" w:hAnsi="Calibri"/>
                <w:b/>
                <w:color w:val="FFFFFF"/>
                <w:sz w:val="18"/>
              </w:rPr>
              <w:t>Design choice</w:t>
            </w:r>
          </w:p>
        </w:tc>
      </w:tr>
      <w:tr>
        <w:tc>
          <w:tcPr>
            <w:tcW w:type="dxa" w:w="1800"/>
            <w:vAlign w:val="center"/>
            <w:tcMar>
              <w:top w:w="90" w:type="dxa"/>
              <w:start w:w="120" w:type="dxa"/>
              <w:bottom w:w="90" w:type="dxa"/>
              <w:end w:w="120" w:type="dxa"/>
            </w:tcMar>
          </w:tcPr>
          <w:p>
            <w:pPr>
              <w:spacing w:after="0" w:line="259" w:lineRule="auto"/>
            </w:pPr>
            <w:r/>
            <w:r>
              <w:rPr>
                <w:rFonts w:ascii="Calibri" w:hAnsi="Calibri"/>
                <w:b w:val="0"/>
                <w:color w:val="21313C"/>
                <w:sz w:val="17"/>
              </w:rPr>
              <w:t>Source</w:t>
            </w:r>
          </w:p>
        </w:tc>
        <w:tc>
          <w:tcPr>
            <w:tcW w:type="dxa" w:w="3672"/>
            <w:vAlign w:val="center"/>
            <w:tcMar>
              <w:top w:w="90" w:type="dxa"/>
              <w:start w:w="120" w:type="dxa"/>
              <w:bottom w:w="90" w:type="dxa"/>
              <w:end w:w="120" w:type="dxa"/>
            </w:tcMar>
          </w:tcPr>
          <w:p>
            <w:pPr>
              <w:spacing w:after="0" w:line="259" w:lineRule="auto"/>
            </w:pPr>
            <w:r/>
            <w:r>
              <w:rPr>
                <w:rFonts w:ascii="Calibri" w:hAnsi="Calibri"/>
                <w:b w:val="0"/>
                <w:color w:val="21313C"/>
                <w:sz w:val="17"/>
              </w:rPr>
              <w:t>Jira work items, links, changelog; Confluence pages and decisions</w:t>
            </w:r>
          </w:p>
        </w:tc>
        <w:tc>
          <w:tcPr>
            <w:tcW w:type="dxa" w:w="3888"/>
            <w:vAlign w:val="center"/>
            <w:tcMar>
              <w:top w:w="90" w:type="dxa"/>
              <w:start w:w="120" w:type="dxa"/>
              <w:bottom w:w="90" w:type="dxa"/>
              <w:end w:w="120" w:type="dxa"/>
            </w:tcMar>
          </w:tcPr>
          <w:p>
            <w:pPr>
              <w:spacing w:after="0" w:line="259" w:lineRule="auto"/>
            </w:pPr>
            <w:r/>
            <w:r>
              <w:rPr>
                <w:rFonts w:ascii="Calibri" w:hAnsi="Calibri"/>
                <w:b w:val="0"/>
                <w:color w:val="21313C"/>
                <w:sz w:val="17"/>
              </w:rPr>
              <w:t>Read-minimized, permission-aware connectors</w:t>
            </w:r>
          </w:p>
        </w:tc>
      </w:tr>
      <w:tr>
        <w:tc>
          <w:tcPr>
            <w:tcW w:type="dxa" w:w="180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Ingestion</w:t>
            </w:r>
          </w:p>
        </w:tc>
        <w:tc>
          <w:tcPr>
            <w:tcW w:type="dxa" w:w="367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Webhooks plus scheduled reconciliation</w:t>
            </w:r>
          </w:p>
        </w:tc>
        <w:tc>
          <w:tcPr>
            <w:tcW w:type="dxa" w:w="3888"/>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Idempotent events; freshness monitoring</w:t>
            </w:r>
          </w:p>
        </w:tc>
      </w:tr>
      <w:tr>
        <w:tc>
          <w:tcPr>
            <w:tcW w:type="dxa" w:w="1800"/>
            <w:vAlign w:val="center"/>
            <w:tcMar>
              <w:top w:w="90" w:type="dxa"/>
              <w:start w:w="120" w:type="dxa"/>
              <w:bottom w:w="90" w:type="dxa"/>
              <w:end w:w="120" w:type="dxa"/>
            </w:tcMar>
          </w:tcPr>
          <w:p>
            <w:pPr>
              <w:spacing w:after="0" w:line="259" w:lineRule="auto"/>
            </w:pPr>
            <w:r/>
            <w:r>
              <w:rPr>
                <w:rFonts w:ascii="Calibri" w:hAnsi="Calibri"/>
                <w:b w:val="0"/>
                <w:color w:val="21313C"/>
                <w:sz w:val="17"/>
              </w:rPr>
              <w:t>Semantic model</w:t>
            </w:r>
          </w:p>
        </w:tc>
        <w:tc>
          <w:tcPr>
            <w:tcW w:type="dxa" w:w="3672"/>
            <w:vAlign w:val="center"/>
            <w:tcMar>
              <w:top w:w="90" w:type="dxa"/>
              <w:start w:w="120" w:type="dxa"/>
              <w:bottom w:w="90" w:type="dxa"/>
              <w:end w:w="120" w:type="dxa"/>
            </w:tcMar>
          </w:tcPr>
          <w:p>
            <w:pPr>
              <w:spacing w:after="0" w:line="259" w:lineRule="auto"/>
            </w:pPr>
            <w:r/>
            <w:r>
              <w:rPr>
                <w:rFonts w:ascii="Calibri" w:hAnsi="Calibri"/>
                <w:b w:val="0"/>
                <w:color w:val="21313C"/>
                <w:sz w:val="17"/>
              </w:rPr>
              <w:t>Goals, sprints, releases, work, dependencies, risks, decisions</w:t>
            </w:r>
          </w:p>
        </w:tc>
        <w:tc>
          <w:tcPr>
            <w:tcW w:type="dxa" w:w="3888"/>
            <w:vAlign w:val="center"/>
            <w:tcMar>
              <w:top w:w="90" w:type="dxa"/>
              <w:start w:w="120" w:type="dxa"/>
              <w:bottom w:w="90" w:type="dxa"/>
              <w:end w:w="120" w:type="dxa"/>
            </w:tcMar>
          </w:tcPr>
          <w:p>
            <w:pPr>
              <w:spacing w:after="0" w:line="259" w:lineRule="auto"/>
            </w:pPr>
            <w:r/>
            <w:r>
              <w:rPr>
                <w:rFonts w:ascii="Calibri" w:hAnsi="Calibri"/>
                <w:b w:val="0"/>
                <w:color w:val="21313C"/>
                <w:sz w:val="17"/>
              </w:rPr>
              <w:t>Canonical IDs and temporal history</w:t>
            </w:r>
          </w:p>
        </w:tc>
      </w:tr>
      <w:tr>
        <w:tc>
          <w:tcPr>
            <w:tcW w:type="dxa" w:w="180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Signal engine</w:t>
            </w:r>
          </w:p>
        </w:tc>
        <w:tc>
          <w:tcPr>
            <w:tcW w:type="dxa" w:w="367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Flow, aging, scope change, readiness, graph exposure</w:t>
            </w:r>
          </w:p>
        </w:tc>
        <w:tc>
          <w:tcPr>
            <w:tcW w:type="dxa" w:w="3888"/>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Deterministic and statistically calibrated features</w:t>
            </w:r>
          </w:p>
        </w:tc>
      </w:tr>
      <w:tr>
        <w:tc>
          <w:tcPr>
            <w:tcW w:type="dxa" w:w="1800"/>
            <w:vAlign w:val="center"/>
            <w:tcMar>
              <w:top w:w="90" w:type="dxa"/>
              <w:start w:w="120" w:type="dxa"/>
              <w:bottom w:w="90" w:type="dxa"/>
              <w:end w:w="120" w:type="dxa"/>
            </w:tcMar>
          </w:tcPr>
          <w:p>
            <w:pPr>
              <w:spacing w:after="0" w:line="259" w:lineRule="auto"/>
            </w:pPr>
            <w:r/>
            <w:r>
              <w:rPr>
                <w:rFonts w:ascii="Calibri" w:hAnsi="Calibri"/>
                <w:b w:val="0"/>
                <w:color w:val="21313C"/>
                <w:sz w:val="17"/>
              </w:rPr>
              <w:t>AI reasoning</w:t>
            </w:r>
          </w:p>
        </w:tc>
        <w:tc>
          <w:tcPr>
            <w:tcW w:type="dxa" w:w="3672"/>
            <w:vAlign w:val="center"/>
            <w:tcMar>
              <w:top w:w="90" w:type="dxa"/>
              <w:start w:w="120" w:type="dxa"/>
              <w:bottom w:w="90" w:type="dxa"/>
              <w:end w:w="120" w:type="dxa"/>
            </w:tcMar>
          </w:tcPr>
          <w:p>
            <w:pPr>
              <w:spacing w:after="0" w:line="259" w:lineRule="auto"/>
            </w:pPr>
            <w:r/>
            <w:r>
              <w:rPr>
                <w:rFonts w:ascii="Calibri" w:hAnsi="Calibri"/>
                <w:b w:val="0"/>
                <w:color w:val="21313C"/>
                <w:sz w:val="17"/>
              </w:rPr>
              <w:t>Context extraction, contradiction detection, dependency proposals, summaries</w:t>
            </w:r>
          </w:p>
        </w:tc>
        <w:tc>
          <w:tcPr>
            <w:tcW w:type="dxa" w:w="3888"/>
            <w:vAlign w:val="center"/>
            <w:tcMar>
              <w:top w:w="90" w:type="dxa"/>
              <w:start w:w="120" w:type="dxa"/>
              <w:bottom w:w="90" w:type="dxa"/>
              <w:end w:w="120" w:type="dxa"/>
            </w:tcMar>
          </w:tcPr>
          <w:p>
            <w:pPr>
              <w:spacing w:after="0" w:line="259" w:lineRule="auto"/>
            </w:pPr>
            <w:r/>
            <w:r>
              <w:rPr>
                <w:rFonts w:ascii="Calibri" w:hAnsi="Calibri"/>
                <w:b w:val="0"/>
                <w:color w:val="21313C"/>
                <w:sz w:val="17"/>
              </w:rPr>
              <w:t>Retrieval-grounded; structured outputs; citations</w:t>
            </w:r>
          </w:p>
        </w:tc>
      </w:tr>
      <w:tr>
        <w:tc>
          <w:tcPr>
            <w:tcW w:type="dxa" w:w="180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Experience</w:t>
            </w:r>
          </w:p>
        </w:tc>
        <w:tc>
          <w:tcPr>
            <w:tcW w:type="dxa" w:w="367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Team brief, executive view, alerts, Confluence reports</w:t>
            </w:r>
          </w:p>
        </w:tc>
        <w:tc>
          <w:tcPr>
            <w:tcW w:type="dxa" w:w="3888"/>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Role-based policy and feedback controls</w:t>
            </w:r>
          </w:p>
        </w:tc>
      </w:tr>
    </w:tbl>
    <w:p>
      <w:pPr>
        <w:spacing w:after="20"/>
      </w:pPr>
    </w:p>
    <w:p>
      <w:pPr>
        <w:pStyle w:val="Heading1"/>
      </w:pPr>
      <w:r>
        <w:t>AI capability map</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232"/>
            <w:vAlign w:val="center"/>
            <w:tcMar>
              <w:top w:w="90" w:type="dxa"/>
              <w:start w:w="120" w:type="dxa"/>
              <w:bottom w:w="90" w:type="dxa"/>
              <w:end w:w="120" w:type="dxa"/>
            </w:tcMar>
            <w:shd w:fill="17324D"/>
          </w:tcPr>
          <w:p>
            <w:pPr>
              <w:spacing w:after="0" w:line="259" w:lineRule="auto"/>
            </w:pPr>
            <w:r/>
            <w:r>
              <w:rPr>
                <w:rFonts w:ascii="Calibri" w:hAnsi="Calibri"/>
                <w:b/>
                <w:color w:val="FFFFFF"/>
                <w:sz w:val="18"/>
              </w:rPr>
              <w:t>Use case</w:t>
            </w:r>
          </w:p>
        </w:tc>
        <w:tc>
          <w:tcPr>
            <w:tcW w:type="dxa" w:w="3816"/>
            <w:vAlign w:val="center"/>
            <w:tcMar>
              <w:top w:w="90" w:type="dxa"/>
              <w:start w:w="120" w:type="dxa"/>
              <w:bottom w:w="90" w:type="dxa"/>
              <w:end w:w="120" w:type="dxa"/>
            </w:tcMar>
            <w:shd w:fill="17324D"/>
          </w:tcPr>
          <w:p>
            <w:pPr>
              <w:spacing w:after="0" w:line="259" w:lineRule="auto"/>
            </w:pPr>
            <w:r/>
            <w:r>
              <w:rPr>
                <w:rFonts w:ascii="Calibri" w:hAnsi="Calibri"/>
                <w:b/>
                <w:color w:val="FFFFFF"/>
                <w:sz w:val="18"/>
              </w:rPr>
              <w:t>AI role</w:t>
            </w:r>
          </w:p>
        </w:tc>
        <w:tc>
          <w:tcPr>
            <w:tcW w:type="dxa" w:w="3312"/>
            <w:vAlign w:val="center"/>
            <w:tcMar>
              <w:top w:w="90" w:type="dxa"/>
              <w:start w:w="120" w:type="dxa"/>
              <w:bottom w:w="90" w:type="dxa"/>
              <w:end w:w="120" w:type="dxa"/>
            </w:tcMar>
            <w:shd w:fill="17324D"/>
          </w:tcPr>
          <w:p>
            <w:pPr>
              <w:spacing w:after="0" w:line="259" w:lineRule="auto"/>
            </w:pPr>
            <w:r/>
            <w:r>
              <w:rPr>
                <w:rFonts w:ascii="Calibri" w:hAnsi="Calibri"/>
                <w:b/>
                <w:color w:val="FFFFFF"/>
                <w:sz w:val="18"/>
              </w:rPr>
              <w:t>Control</w:t>
            </w:r>
          </w:p>
        </w:tc>
      </w:tr>
      <w:tr>
        <w:tc>
          <w:tcPr>
            <w:tcW w:type="dxa" w:w="2232"/>
            <w:vAlign w:val="center"/>
            <w:tcMar>
              <w:top w:w="90" w:type="dxa"/>
              <w:start w:w="120" w:type="dxa"/>
              <w:bottom w:w="90" w:type="dxa"/>
              <w:end w:w="120" w:type="dxa"/>
            </w:tcMar>
          </w:tcPr>
          <w:p>
            <w:pPr>
              <w:spacing w:after="0" w:line="259" w:lineRule="auto"/>
            </w:pPr>
            <w:r/>
            <w:r>
              <w:rPr>
                <w:rFonts w:ascii="Calibri" w:hAnsi="Calibri"/>
                <w:b w:val="0"/>
                <w:color w:val="21313C"/>
                <w:sz w:val="17"/>
              </w:rPr>
              <w:t>Dependency discovery</w:t>
            </w:r>
          </w:p>
        </w:tc>
        <w:tc>
          <w:tcPr>
            <w:tcW w:type="dxa" w:w="3816"/>
            <w:vAlign w:val="center"/>
            <w:tcMar>
              <w:top w:w="90" w:type="dxa"/>
              <w:start w:w="120" w:type="dxa"/>
              <w:bottom w:w="90" w:type="dxa"/>
              <w:end w:w="120" w:type="dxa"/>
            </w:tcMar>
          </w:tcPr>
          <w:p>
            <w:pPr>
              <w:spacing w:after="0" w:line="259" w:lineRule="auto"/>
            </w:pPr>
            <w:r/>
            <w:r>
              <w:rPr>
                <w:rFonts w:ascii="Calibri" w:hAnsi="Calibri"/>
                <w:b w:val="0"/>
                <w:color w:val="21313C"/>
                <w:sz w:val="17"/>
              </w:rPr>
              <w:t>Extract candidate relationships, owners, dates, and rationale</w:t>
            </w:r>
          </w:p>
        </w:tc>
        <w:tc>
          <w:tcPr>
            <w:tcW w:type="dxa" w:w="3312"/>
            <w:vAlign w:val="center"/>
            <w:tcMar>
              <w:top w:w="90" w:type="dxa"/>
              <w:start w:w="120" w:type="dxa"/>
              <w:bottom w:w="90" w:type="dxa"/>
              <w:end w:w="120" w:type="dxa"/>
            </w:tcMar>
          </w:tcPr>
          <w:p>
            <w:pPr>
              <w:spacing w:after="0" w:line="259" w:lineRule="auto"/>
            </w:pPr>
            <w:r/>
            <w:r>
              <w:rPr>
                <w:rFonts w:ascii="Calibri" w:hAnsi="Calibri"/>
                <w:b w:val="0"/>
                <w:color w:val="21313C"/>
                <w:sz w:val="17"/>
              </w:rPr>
              <w:t>Human confirmation before graph activation</w:t>
            </w:r>
          </w:p>
        </w:tc>
      </w:tr>
      <w:tr>
        <w:tc>
          <w:tcPr>
            <w:tcW w:type="dxa" w:w="223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Risk explanation</w:t>
            </w:r>
          </w:p>
        </w:tc>
        <w:tc>
          <w:tcPr>
            <w:tcW w:type="dxa" w:w="3816"/>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Summarize top feature contributions in business language</w:t>
            </w:r>
          </w:p>
        </w:tc>
        <w:tc>
          <w:tcPr>
            <w:tcW w:type="dxa" w:w="331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Source citations; no unsupported causal claim</w:t>
            </w:r>
          </w:p>
        </w:tc>
      </w:tr>
      <w:tr>
        <w:tc>
          <w:tcPr>
            <w:tcW w:type="dxa" w:w="2232"/>
            <w:vAlign w:val="center"/>
            <w:tcMar>
              <w:top w:w="90" w:type="dxa"/>
              <w:start w:w="120" w:type="dxa"/>
              <w:bottom w:w="90" w:type="dxa"/>
              <w:end w:w="120" w:type="dxa"/>
            </w:tcMar>
          </w:tcPr>
          <w:p>
            <w:pPr>
              <w:spacing w:after="0" w:line="259" w:lineRule="auto"/>
            </w:pPr>
            <w:r/>
            <w:r>
              <w:rPr>
                <w:rFonts w:ascii="Calibri" w:hAnsi="Calibri"/>
                <w:b w:val="0"/>
                <w:color w:val="21313C"/>
                <w:sz w:val="17"/>
              </w:rPr>
              <w:t>Status automation</w:t>
            </w:r>
          </w:p>
        </w:tc>
        <w:tc>
          <w:tcPr>
            <w:tcW w:type="dxa" w:w="3816"/>
            <w:vAlign w:val="center"/>
            <w:tcMar>
              <w:top w:w="90" w:type="dxa"/>
              <w:start w:w="120" w:type="dxa"/>
              <w:bottom w:w="90" w:type="dxa"/>
              <w:end w:w="120" w:type="dxa"/>
            </w:tcMar>
          </w:tcPr>
          <w:p>
            <w:pPr>
              <w:spacing w:after="0" w:line="259" w:lineRule="auto"/>
            </w:pPr>
            <w:r/>
            <w:r>
              <w:rPr>
                <w:rFonts w:ascii="Calibri" w:hAnsi="Calibri"/>
                <w:b w:val="0"/>
                <w:color w:val="21313C"/>
                <w:sz w:val="17"/>
              </w:rPr>
              <w:t>Generate audience-specific briefs from the same facts</w:t>
            </w:r>
          </w:p>
        </w:tc>
        <w:tc>
          <w:tcPr>
            <w:tcW w:type="dxa" w:w="3312"/>
            <w:vAlign w:val="center"/>
            <w:tcMar>
              <w:top w:w="90" w:type="dxa"/>
              <w:start w:w="120" w:type="dxa"/>
              <w:bottom w:w="90" w:type="dxa"/>
              <w:end w:w="120" w:type="dxa"/>
            </w:tcMar>
          </w:tcPr>
          <w:p>
            <w:pPr>
              <w:spacing w:after="0" w:line="259" w:lineRule="auto"/>
            </w:pPr>
            <w:r/>
            <w:r>
              <w:rPr>
                <w:rFonts w:ascii="Calibri" w:hAnsi="Calibri"/>
                <w:b w:val="0"/>
                <w:color w:val="21313C"/>
                <w:sz w:val="17"/>
              </w:rPr>
              <w:t>Editable draft; approval and publication policy</w:t>
            </w:r>
          </w:p>
        </w:tc>
      </w:tr>
      <w:tr>
        <w:tc>
          <w:tcPr>
            <w:tcW w:type="dxa" w:w="223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Mitigation support</w:t>
            </w:r>
          </w:p>
        </w:tc>
        <w:tc>
          <w:tcPr>
            <w:tcW w:type="dxa" w:w="3816"/>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Suggest options based on pattern, constraints, and precedent</w:t>
            </w:r>
          </w:p>
        </w:tc>
        <w:tc>
          <w:tcPr>
            <w:tcW w:type="dxa" w:w="331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Recommendation only; display assumptions</w:t>
            </w:r>
          </w:p>
        </w:tc>
      </w:tr>
      <w:tr>
        <w:tc>
          <w:tcPr>
            <w:tcW w:type="dxa" w:w="2232"/>
            <w:vAlign w:val="center"/>
            <w:tcMar>
              <w:top w:w="90" w:type="dxa"/>
              <w:start w:w="120" w:type="dxa"/>
              <w:bottom w:w="90" w:type="dxa"/>
              <w:end w:w="120" w:type="dxa"/>
            </w:tcMar>
          </w:tcPr>
          <w:p>
            <w:pPr>
              <w:spacing w:after="0" w:line="259" w:lineRule="auto"/>
            </w:pPr>
            <w:r/>
            <w:r>
              <w:rPr>
                <w:rFonts w:ascii="Calibri" w:hAnsi="Calibri"/>
                <w:b w:val="0"/>
                <w:color w:val="21313C"/>
                <w:sz w:val="17"/>
              </w:rPr>
              <w:t>Data-quality detection</w:t>
            </w:r>
          </w:p>
        </w:tc>
        <w:tc>
          <w:tcPr>
            <w:tcW w:type="dxa" w:w="3816"/>
            <w:vAlign w:val="center"/>
            <w:tcMar>
              <w:top w:w="90" w:type="dxa"/>
              <w:start w:w="120" w:type="dxa"/>
              <w:bottom w:w="90" w:type="dxa"/>
              <w:end w:w="120" w:type="dxa"/>
            </w:tcMar>
          </w:tcPr>
          <w:p>
            <w:pPr>
              <w:spacing w:after="0" w:line="259" w:lineRule="auto"/>
            </w:pPr>
            <w:r/>
            <w:r>
              <w:rPr>
                <w:rFonts w:ascii="Calibri" w:hAnsi="Calibri"/>
                <w:b w:val="0"/>
                <w:color w:val="21313C"/>
                <w:sz w:val="17"/>
              </w:rPr>
              <w:t>Identify stale goals, contradictions, and missing ownership</w:t>
            </w:r>
          </w:p>
        </w:tc>
        <w:tc>
          <w:tcPr>
            <w:tcW w:type="dxa" w:w="3312"/>
            <w:vAlign w:val="center"/>
            <w:tcMar>
              <w:top w:w="90" w:type="dxa"/>
              <w:start w:w="120" w:type="dxa"/>
              <w:bottom w:w="90" w:type="dxa"/>
              <w:end w:w="120" w:type="dxa"/>
            </w:tcMar>
          </w:tcPr>
          <w:p>
            <w:pPr>
              <w:spacing w:after="0" w:line="259" w:lineRule="auto"/>
            </w:pPr>
            <w:r/>
            <w:r>
              <w:rPr>
                <w:rFonts w:ascii="Calibri" w:hAnsi="Calibri"/>
                <w:b w:val="0"/>
                <w:color w:val="21313C"/>
                <w:sz w:val="17"/>
              </w:rPr>
              <w:t>Route to source owner for correction</w:t>
            </w:r>
          </w:p>
        </w:tc>
      </w:tr>
    </w:tbl>
    <w:p>
      <w:pPr>
        <w:spacing w:after="20"/>
      </w:pPr>
    </w:p>
    <w:p>
      <w:pPr>
        <w:pStyle w:val="Heading1"/>
      </w:pPr>
      <w:r>
        <w:t>Jira and Confluence integration</w:t>
      </w:r>
    </w:p>
    <w:p>
      <w:r>
        <w:t>Jira Cloud REST APIs expose issues and related platform resources, while Confluence Cloud REST API v2 exposes content resources. The connector should use least-privilege OAuth scopes, preserve source permissions during retrieval, support pagination and rate limits, and reconcile webhook events with periodic snapshots. API behavior and deprecations must be monitored through Atlassian's developer changelogs.</w:t>
      </w:r>
    </w:p>
    <w:p>
      <w:r>
        <w:br w:type="page"/>
      </w:r>
    </w:p>
    <w:p>
      <w:pPr>
        <w:pStyle w:val="Title"/>
      </w:pPr>
      <w:r>
        <w:t>6. Trust, governance, and responsible use</w:t>
      </w:r>
    </w:p>
    <w:p>
      <w:r>
        <w:t>Adoption will fail if teams experience the system as opaque surveillance. Trust is therefore a product capability, not a compliance appendix.</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088"/>
            <w:vAlign w:val="center"/>
            <w:tcMar>
              <w:top w:w="90" w:type="dxa"/>
              <w:start w:w="120" w:type="dxa"/>
              <w:bottom w:w="90" w:type="dxa"/>
              <w:end w:w="120" w:type="dxa"/>
            </w:tcMar>
            <w:shd w:fill="17324D"/>
          </w:tcPr>
          <w:p>
            <w:pPr>
              <w:spacing w:after="0" w:line="259" w:lineRule="auto"/>
            </w:pPr>
            <w:r/>
            <w:r>
              <w:rPr>
                <w:rFonts w:ascii="Calibri" w:hAnsi="Calibri"/>
                <w:b/>
                <w:color w:val="FFFFFF"/>
                <w:sz w:val="18"/>
              </w:rPr>
              <w:t>Risk</w:t>
            </w:r>
          </w:p>
        </w:tc>
        <w:tc>
          <w:tcPr>
            <w:tcW w:type="dxa" w:w="3960"/>
            <w:vAlign w:val="center"/>
            <w:tcMar>
              <w:top w:w="90" w:type="dxa"/>
              <w:start w:w="120" w:type="dxa"/>
              <w:bottom w:w="90" w:type="dxa"/>
              <w:end w:w="120" w:type="dxa"/>
            </w:tcMar>
            <w:shd w:fill="17324D"/>
          </w:tcPr>
          <w:p>
            <w:pPr>
              <w:spacing w:after="0" w:line="259" w:lineRule="auto"/>
            </w:pPr>
            <w:r/>
            <w:r>
              <w:rPr>
                <w:rFonts w:ascii="Calibri" w:hAnsi="Calibri"/>
                <w:b/>
                <w:color w:val="FFFFFF"/>
                <w:sz w:val="18"/>
              </w:rPr>
              <w:t>Product safeguard</w:t>
            </w:r>
          </w:p>
        </w:tc>
        <w:tc>
          <w:tcPr>
            <w:tcW w:type="dxa" w:w="3312"/>
            <w:vAlign w:val="center"/>
            <w:tcMar>
              <w:top w:w="90" w:type="dxa"/>
              <w:start w:w="120" w:type="dxa"/>
              <w:bottom w:w="90" w:type="dxa"/>
              <w:end w:w="120" w:type="dxa"/>
            </w:tcMar>
            <w:shd w:fill="17324D"/>
          </w:tcPr>
          <w:p>
            <w:pPr>
              <w:spacing w:after="0" w:line="259" w:lineRule="auto"/>
            </w:pPr>
            <w:r/>
            <w:r>
              <w:rPr>
                <w:rFonts w:ascii="Calibri" w:hAnsi="Calibri"/>
                <w:b/>
                <w:color w:val="FFFFFF"/>
                <w:sz w:val="18"/>
              </w:rPr>
              <w:t>Proof mechanism</w:t>
            </w:r>
          </w:p>
        </w:tc>
      </w:tr>
      <w:tr>
        <w:tc>
          <w:tcPr>
            <w:tcW w:type="dxa" w:w="2088"/>
            <w:vAlign w:val="center"/>
            <w:tcMar>
              <w:top w:w="90" w:type="dxa"/>
              <w:start w:w="120" w:type="dxa"/>
              <w:bottom w:w="90" w:type="dxa"/>
              <w:end w:w="120" w:type="dxa"/>
            </w:tcMar>
          </w:tcPr>
          <w:p>
            <w:pPr>
              <w:spacing w:after="0" w:line="259" w:lineRule="auto"/>
            </w:pPr>
            <w:r/>
            <w:r>
              <w:rPr>
                <w:rFonts w:ascii="Calibri" w:hAnsi="Calibri"/>
                <w:b w:val="0"/>
                <w:color w:val="21313C"/>
                <w:sz w:val="17"/>
              </w:rPr>
              <w:t>False or noisy alerts</w:t>
            </w:r>
          </w:p>
        </w:tc>
        <w:tc>
          <w:tcPr>
            <w:tcW w:type="dxa" w:w="3960"/>
            <w:vAlign w:val="center"/>
            <w:tcMar>
              <w:top w:w="90" w:type="dxa"/>
              <w:start w:w="120" w:type="dxa"/>
              <w:bottom w:w="90" w:type="dxa"/>
              <w:end w:w="120" w:type="dxa"/>
            </w:tcMar>
          </w:tcPr>
          <w:p>
            <w:pPr>
              <w:spacing w:after="0" w:line="259" w:lineRule="auto"/>
            </w:pPr>
            <w:r/>
            <w:r>
              <w:rPr>
                <w:rFonts w:ascii="Calibri" w:hAnsi="Calibri"/>
                <w:b w:val="0"/>
                <w:color w:val="21313C"/>
                <w:sz w:val="17"/>
              </w:rPr>
              <w:t>Threshold calibration, suppression windows, severity gating</w:t>
            </w:r>
          </w:p>
        </w:tc>
        <w:tc>
          <w:tcPr>
            <w:tcW w:type="dxa" w:w="3312"/>
            <w:vAlign w:val="center"/>
            <w:tcMar>
              <w:top w:w="90" w:type="dxa"/>
              <w:start w:w="120" w:type="dxa"/>
              <w:bottom w:w="90" w:type="dxa"/>
              <w:end w:w="120" w:type="dxa"/>
            </w:tcMar>
          </w:tcPr>
          <w:p>
            <w:pPr>
              <w:spacing w:after="0" w:line="259" w:lineRule="auto"/>
            </w:pPr>
            <w:r/>
            <w:r>
              <w:rPr>
                <w:rFonts w:ascii="Calibri" w:hAnsi="Calibri"/>
                <w:b w:val="0"/>
                <w:color w:val="21313C"/>
                <w:sz w:val="17"/>
              </w:rPr>
              <w:t>Precision, recall, dismissals, alert burden</w:t>
            </w:r>
          </w:p>
        </w:tc>
      </w:tr>
      <w:tr>
        <w:tc>
          <w:tcPr>
            <w:tcW w:type="dxa" w:w="2088"/>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Hallucinated narrative</w:t>
            </w:r>
          </w:p>
        </w:tc>
        <w:tc>
          <w:tcPr>
            <w:tcW w:type="dxa" w:w="396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Retrieval-grounding and claim-level citations</w:t>
            </w:r>
          </w:p>
        </w:tc>
        <w:tc>
          <w:tcPr>
            <w:tcW w:type="dxa" w:w="331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Unsupported-claim test suite</w:t>
            </w:r>
          </w:p>
        </w:tc>
      </w:tr>
      <w:tr>
        <w:tc>
          <w:tcPr>
            <w:tcW w:type="dxa" w:w="2088"/>
            <w:vAlign w:val="center"/>
            <w:tcMar>
              <w:top w:w="90" w:type="dxa"/>
              <w:start w:w="120" w:type="dxa"/>
              <w:bottom w:w="90" w:type="dxa"/>
              <w:end w:w="120" w:type="dxa"/>
            </w:tcMar>
          </w:tcPr>
          <w:p>
            <w:pPr>
              <w:spacing w:after="0" w:line="259" w:lineRule="auto"/>
            </w:pPr>
            <w:r/>
            <w:r>
              <w:rPr>
                <w:rFonts w:ascii="Calibri" w:hAnsi="Calibri"/>
                <w:b w:val="0"/>
                <w:color w:val="21313C"/>
                <w:sz w:val="17"/>
              </w:rPr>
              <w:t>Individual surveillance</w:t>
            </w:r>
          </w:p>
        </w:tc>
        <w:tc>
          <w:tcPr>
            <w:tcW w:type="dxa" w:w="3960"/>
            <w:vAlign w:val="center"/>
            <w:tcMar>
              <w:top w:w="90" w:type="dxa"/>
              <w:start w:w="120" w:type="dxa"/>
              <w:bottom w:w="90" w:type="dxa"/>
              <w:end w:w="120" w:type="dxa"/>
            </w:tcMar>
          </w:tcPr>
          <w:p>
            <w:pPr>
              <w:spacing w:after="0" w:line="259" w:lineRule="auto"/>
            </w:pPr>
            <w:r/>
            <w:r>
              <w:rPr>
                <w:rFonts w:ascii="Calibri" w:hAnsi="Calibri"/>
                <w:b w:val="0"/>
                <w:color w:val="21313C"/>
                <w:sz w:val="17"/>
              </w:rPr>
              <w:t>No individual health scores; minimum aggregation rules</w:t>
            </w:r>
          </w:p>
        </w:tc>
        <w:tc>
          <w:tcPr>
            <w:tcW w:type="dxa" w:w="3312"/>
            <w:vAlign w:val="center"/>
            <w:tcMar>
              <w:top w:w="90" w:type="dxa"/>
              <w:start w:w="120" w:type="dxa"/>
              <w:bottom w:w="90" w:type="dxa"/>
              <w:end w:w="120" w:type="dxa"/>
            </w:tcMar>
          </w:tcPr>
          <w:p>
            <w:pPr>
              <w:spacing w:after="0" w:line="259" w:lineRule="auto"/>
            </w:pPr>
            <w:r/>
            <w:r>
              <w:rPr>
                <w:rFonts w:ascii="Calibri" w:hAnsi="Calibri"/>
                <w:b w:val="0"/>
                <w:color w:val="21313C"/>
                <w:sz w:val="17"/>
              </w:rPr>
              <w:t>Policy tests and audit logs</w:t>
            </w:r>
          </w:p>
        </w:tc>
      </w:tr>
      <w:tr>
        <w:tc>
          <w:tcPr>
            <w:tcW w:type="dxa" w:w="2088"/>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Permission leakage</w:t>
            </w:r>
          </w:p>
        </w:tc>
        <w:tc>
          <w:tcPr>
            <w:tcW w:type="dxa" w:w="396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Source ACL propagation; tenant isolation; field-level controls</w:t>
            </w:r>
          </w:p>
        </w:tc>
        <w:tc>
          <w:tcPr>
            <w:tcW w:type="dxa" w:w="331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Access-control tests and security review</w:t>
            </w:r>
          </w:p>
        </w:tc>
      </w:tr>
      <w:tr>
        <w:tc>
          <w:tcPr>
            <w:tcW w:type="dxa" w:w="2088"/>
            <w:vAlign w:val="center"/>
            <w:tcMar>
              <w:top w:w="90" w:type="dxa"/>
              <w:start w:w="120" w:type="dxa"/>
              <w:bottom w:w="90" w:type="dxa"/>
              <w:end w:w="120" w:type="dxa"/>
            </w:tcMar>
          </w:tcPr>
          <w:p>
            <w:pPr>
              <w:spacing w:after="0" w:line="259" w:lineRule="auto"/>
            </w:pPr>
            <w:r/>
            <w:r>
              <w:rPr>
                <w:rFonts w:ascii="Calibri" w:hAnsi="Calibri"/>
                <w:b w:val="0"/>
                <w:color w:val="21313C"/>
                <w:sz w:val="17"/>
              </w:rPr>
              <w:t>Automation bias</w:t>
            </w:r>
          </w:p>
        </w:tc>
        <w:tc>
          <w:tcPr>
            <w:tcW w:type="dxa" w:w="3960"/>
            <w:vAlign w:val="center"/>
            <w:tcMar>
              <w:top w:w="90" w:type="dxa"/>
              <w:start w:w="120" w:type="dxa"/>
              <w:bottom w:w="90" w:type="dxa"/>
              <w:end w:w="120" w:type="dxa"/>
            </w:tcMar>
          </w:tcPr>
          <w:p>
            <w:pPr>
              <w:spacing w:after="0" w:line="259" w:lineRule="auto"/>
            </w:pPr>
            <w:r/>
            <w:r>
              <w:rPr>
                <w:rFonts w:ascii="Calibri" w:hAnsi="Calibri"/>
                <w:b w:val="0"/>
                <w:color w:val="21313C"/>
                <w:sz w:val="17"/>
              </w:rPr>
              <w:t>Confidence, counter-evidence, editable assessment, human approval</w:t>
            </w:r>
          </w:p>
        </w:tc>
        <w:tc>
          <w:tcPr>
            <w:tcW w:type="dxa" w:w="3312"/>
            <w:vAlign w:val="center"/>
            <w:tcMar>
              <w:top w:w="90" w:type="dxa"/>
              <w:start w:w="120" w:type="dxa"/>
              <w:bottom w:w="90" w:type="dxa"/>
              <w:end w:w="120" w:type="dxa"/>
            </w:tcMar>
          </w:tcPr>
          <w:p>
            <w:pPr>
              <w:spacing w:after="0" w:line="259" w:lineRule="auto"/>
            </w:pPr>
            <w:r/>
            <w:r>
              <w:rPr>
                <w:rFonts w:ascii="Calibri" w:hAnsi="Calibri"/>
                <w:b w:val="0"/>
                <w:color w:val="21313C"/>
                <w:sz w:val="17"/>
              </w:rPr>
              <w:t>Override rate and decision review</w:t>
            </w:r>
          </w:p>
        </w:tc>
      </w:tr>
      <w:tr>
        <w:tc>
          <w:tcPr>
            <w:tcW w:type="dxa" w:w="2088"/>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Metric gaming</w:t>
            </w:r>
          </w:p>
        </w:tc>
        <w:tc>
          <w:tcPr>
            <w:tcW w:type="dxa" w:w="396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Balanced dimensions; no velocity targets; outcome calibration</w:t>
            </w:r>
          </w:p>
        </w:tc>
        <w:tc>
          <w:tcPr>
            <w:tcW w:type="dxa" w:w="331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Metric-health review and qualitative research</w:t>
            </w:r>
          </w:p>
        </w:tc>
      </w:tr>
    </w:tbl>
    <w:p>
      <w:pPr>
        <w:spacing w:after="20"/>
      </w:pPr>
    </w:p>
    <w:p>
      <w:pPr>
        <w:pStyle w:val="Heading1"/>
      </w:pPr>
      <w:r>
        <w:t>Explainability contract</w:t>
      </w:r>
    </w:p>
    <w:p>
      <w:pPr>
        <w:pStyle w:val="ListBullet"/>
        <w:spacing w:after="80"/>
        <w:ind w:left="403" w:hanging="259"/>
      </w:pPr>
      <w:r>
        <w:t>Every assessment identifies the affected goal or commitment.</w:t>
      </w:r>
    </w:p>
    <w:p>
      <w:pPr>
        <w:pStyle w:val="ListBullet"/>
        <w:spacing w:after="80"/>
        <w:ind w:left="403" w:hanging="259"/>
      </w:pPr>
      <w:r>
        <w:t>Every risk narrative points to the exact data or approved context used.</w:t>
      </w:r>
    </w:p>
    <w:p>
      <w:pPr>
        <w:pStyle w:val="ListBullet"/>
        <w:spacing w:after="80"/>
        <w:ind w:left="403" w:hanging="259"/>
      </w:pPr>
      <w:r>
        <w:t>Every model output includes confidence, freshness, and known missing data.</w:t>
      </w:r>
    </w:p>
    <w:p>
      <w:pPr>
        <w:pStyle w:val="ListBullet"/>
        <w:spacing w:after="80"/>
        <w:ind w:left="403" w:hanging="259"/>
      </w:pPr>
      <w:r>
        <w:t>Every user can correct a relationship, annotate context, or dismiss a signal with a reason.</w:t>
      </w:r>
    </w:p>
    <w:p>
      <w:pPr>
        <w:pStyle w:val="ListBullet"/>
        <w:spacing w:after="80"/>
        <w:ind w:left="403" w:hanging="259"/>
      </w:pPr>
      <w:r>
        <w:t>Every material change is auditable: input version, model/rule version, output, and user action.</w:t>
      </w:r>
    </w:p>
    <w:p>
      <w:pPr>
        <w:pStyle w:val="Heading1"/>
      </w:pPr>
      <w:r>
        <w:t>Data boundary</w:t>
      </w:r>
    </w:p>
    <w:p>
      <w:r>
        <w:t>The product should default to metadata and narrowly retrieved page sections, not indiscriminate content indexing. Organizations configure approved Confluence spaces, retention, regional processing, and model-provider policies. Sensitive fields are excluded or tokenized before model inference where feasible.</w:t>
      </w:r>
    </w:p>
    <w:p>
      <w:r>
        <w:br w:type="page"/>
      </w:r>
    </w:p>
    <w:p>
      <w:pPr>
        <w:pStyle w:val="Title"/>
      </w:pPr>
      <w:r>
        <w:t>7. Product analytics and business value</w:t>
      </w:r>
    </w:p>
    <w:p>
      <w:r>
        <w:t>The measurement system must distinguish product usage from customer value and model quality. The north star is early, actionable risk detection—not dashboard views.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656"/>
            <w:vAlign w:val="center"/>
            <w:tcMar>
              <w:top w:w="90" w:type="dxa"/>
              <w:start w:w="120" w:type="dxa"/>
              <w:bottom w:w="90" w:type="dxa"/>
              <w:end w:w="120" w:type="dxa"/>
            </w:tcMar>
            <w:shd w:fill="17324D"/>
          </w:tcPr>
          <w:p>
            <w:pPr>
              <w:spacing w:after="0" w:line="259" w:lineRule="auto"/>
            </w:pPr>
            <w:r/>
            <w:r>
              <w:rPr>
                <w:rFonts w:ascii="Calibri" w:hAnsi="Calibri"/>
                <w:b/>
                <w:color w:val="FFFFFF"/>
                <w:sz w:val="18"/>
              </w:rPr>
              <w:t>Level</w:t>
            </w:r>
          </w:p>
        </w:tc>
        <w:tc>
          <w:tcPr>
            <w:tcW w:type="dxa" w:w="4680"/>
            <w:vAlign w:val="center"/>
            <w:tcMar>
              <w:top w:w="90" w:type="dxa"/>
              <w:start w:w="120" w:type="dxa"/>
              <w:bottom w:w="90" w:type="dxa"/>
              <w:end w:w="120" w:type="dxa"/>
            </w:tcMar>
            <w:shd w:fill="17324D"/>
          </w:tcPr>
          <w:p>
            <w:pPr>
              <w:spacing w:after="0" w:line="259" w:lineRule="auto"/>
            </w:pPr>
            <w:r/>
            <w:r>
              <w:rPr>
                <w:rFonts w:ascii="Calibri" w:hAnsi="Calibri"/>
                <w:b/>
                <w:color w:val="FFFFFF"/>
                <w:sz w:val="18"/>
              </w:rPr>
              <w:t>Metric</w:t>
            </w:r>
          </w:p>
        </w:tc>
        <w:tc>
          <w:tcPr>
            <w:tcW w:type="dxa" w:w="3024"/>
            <w:vAlign w:val="center"/>
            <w:tcMar>
              <w:top w:w="90" w:type="dxa"/>
              <w:start w:w="120" w:type="dxa"/>
              <w:bottom w:w="90" w:type="dxa"/>
              <w:end w:w="120" w:type="dxa"/>
            </w:tcMar>
            <w:shd w:fill="17324D"/>
          </w:tcPr>
          <w:p>
            <w:pPr>
              <w:spacing w:after="0" w:line="259" w:lineRule="auto"/>
            </w:pPr>
            <w:r/>
            <w:r>
              <w:rPr>
                <w:rFonts w:ascii="Calibri" w:hAnsi="Calibri"/>
                <w:b/>
                <w:color w:val="FFFFFF"/>
                <w:sz w:val="18"/>
              </w:rPr>
              <w:t>Why it matters</w:t>
            </w:r>
          </w:p>
        </w:tc>
      </w:tr>
      <w:tr>
        <w:tc>
          <w:tcPr>
            <w:tcW w:type="dxa" w:w="1656"/>
            <w:vAlign w:val="center"/>
            <w:tcMar>
              <w:top w:w="90" w:type="dxa"/>
              <w:start w:w="120" w:type="dxa"/>
              <w:bottom w:w="90" w:type="dxa"/>
              <w:end w:w="120" w:type="dxa"/>
            </w:tcMar>
          </w:tcPr>
          <w:p>
            <w:pPr>
              <w:spacing w:after="0" w:line="259" w:lineRule="auto"/>
            </w:pPr>
            <w:r/>
            <w:r>
              <w:rPr>
                <w:rFonts w:ascii="Calibri" w:hAnsi="Calibri"/>
                <w:b w:val="0"/>
                <w:color w:val="21313C"/>
                <w:sz w:val="17"/>
              </w:rPr>
              <w:t>North star</w:t>
            </w:r>
          </w:p>
        </w:tc>
        <w:tc>
          <w:tcPr>
            <w:tcW w:type="dxa" w:w="4680"/>
            <w:vAlign w:val="center"/>
            <w:tcMar>
              <w:top w:w="90" w:type="dxa"/>
              <w:start w:w="120" w:type="dxa"/>
              <w:bottom w:w="90" w:type="dxa"/>
              <w:end w:w="120" w:type="dxa"/>
            </w:tcMar>
          </w:tcPr>
          <w:p>
            <w:pPr>
              <w:spacing w:after="0" w:line="259" w:lineRule="auto"/>
            </w:pPr>
            <w:r/>
            <w:r>
              <w:rPr>
                <w:rFonts w:ascii="Calibri" w:hAnsi="Calibri"/>
                <w:b w:val="0"/>
                <w:color w:val="21313C"/>
                <w:sz w:val="17"/>
              </w:rPr>
              <w:t>Material risks identified before the mitigation cutoff</w:t>
            </w:r>
          </w:p>
        </w:tc>
        <w:tc>
          <w:tcPr>
            <w:tcW w:type="dxa" w:w="3024"/>
            <w:vAlign w:val="center"/>
            <w:tcMar>
              <w:top w:w="90" w:type="dxa"/>
              <w:start w:w="120" w:type="dxa"/>
              <w:bottom w:w="90" w:type="dxa"/>
              <w:end w:w="120" w:type="dxa"/>
            </w:tcMar>
          </w:tcPr>
          <w:p>
            <w:pPr>
              <w:spacing w:after="0" w:line="259" w:lineRule="auto"/>
            </w:pPr>
            <w:r/>
            <w:r>
              <w:rPr>
                <w:rFonts w:ascii="Calibri" w:hAnsi="Calibri"/>
                <w:b w:val="0"/>
                <w:color w:val="21313C"/>
                <w:sz w:val="17"/>
              </w:rPr>
              <w:t>Measures usable lead time, not prediction theater</w:t>
            </w:r>
          </w:p>
        </w:tc>
      </w:tr>
      <w:tr>
        <w:tc>
          <w:tcPr>
            <w:tcW w:type="dxa" w:w="1656"/>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Outcome</w:t>
            </w:r>
          </w:p>
        </w:tc>
        <w:tc>
          <w:tcPr>
            <w:tcW w:type="dxa" w:w="468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Dependency-driven miss rate; unplanned carryover; release surprise rate</w:t>
            </w:r>
          </w:p>
        </w:tc>
        <w:tc>
          <w:tcPr>
            <w:tcW w:type="dxa" w:w="3024"/>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Tests whether delivery outcomes improve</w:t>
            </w:r>
          </w:p>
        </w:tc>
      </w:tr>
      <w:tr>
        <w:tc>
          <w:tcPr>
            <w:tcW w:type="dxa" w:w="1656"/>
            <w:vAlign w:val="center"/>
            <w:tcMar>
              <w:top w:w="90" w:type="dxa"/>
              <w:start w:w="120" w:type="dxa"/>
              <w:bottom w:w="90" w:type="dxa"/>
              <w:end w:w="120" w:type="dxa"/>
            </w:tcMar>
          </w:tcPr>
          <w:p>
            <w:pPr>
              <w:spacing w:after="0" w:line="259" w:lineRule="auto"/>
            </w:pPr>
            <w:r/>
            <w:r>
              <w:rPr>
                <w:rFonts w:ascii="Calibri" w:hAnsi="Calibri"/>
                <w:b w:val="0"/>
                <w:color w:val="21313C"/>
                <w:sz w:val="17"/>
              </w:rPr>
              <w:t>Efficiency</w:t>
            </w:r>
          </w:p>
        </w:tc>
        <w:tc>
          <w:tcPr>
            <w:tcW w:type="dxa" w:w="4680"/>
            <w:vAlign w:val="center"/>
            <w:tcMar>
              <w:top w:w="90" w:type="dxa"/>
              <w:start w:w="120" w:type="dxa"/>
              <w:bottom w:w="90" w:type="dxa"/>
              <w:end w:w="120" w:type="dxa"/>
            </w:tcMar>
          </w:tcPr>
          <w:p>
            <w:pPr>
              <w:spacing w:after="0" w:line="259" w:lineRule="auto"/>
            </w:pPr>
            <w:r/>
            <w:r>
              <w:rPr>
                <w:rFonts w:ascii="Calibri" w:hAnsi="Calibri"/>
                <w:b w:val="0"/>
                <w:color w:val="21313C"/>
                <w:sz w:val="17"/>
              </w:rPr>
              <w:t>Hours of reporting effort avoided; brief preparation cycle time</w:t>
            </w:r>
          </w:p>
        </w:tc>
        <w:tc>
          <w:tcPr>
            <w:tcW w:type="dxa" w:w="3024"/>
            <w:vAlign w:val="center"/>
            <w:tcMar>
              <w:top w:w="90" w:type="dxa"/>
              <w:start w:w="120" w:type="dxa"/>
              <w:bottom w:w="90" w:type="dxa"/>
              <w:end w:w="120" w:type="dxa"/>
            </w:tcMar>
          </w:tcPr>
          <w:p>
            <w:pPr>
              <w:spacing w:after="0" w:line="259" w:lineRule="auto"/>
            </w:pPr>
            <w:r/>
            <w:r>
              <w:rPr>
                <w:rFonts w:ascii="Calibri" w:hAnsi="Calibri"/>
                <w:b w:val="0"/>
                <w:color w:val="21313C"/>
                <w:sz w:val="17"/>
              </w:rPr>
              <w:t>Quantifies manual-effort reduction</w:t>
            </w:r>
          </w:p>
        </w:tc>
      </w:tr>
      <w:tr>
        <w:tc>
          <w:tcPr>
            <w:tcW w:type="dxa" w:w="1656"/>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Decision</w:t>
            </w:r>
          </w:p>
        </w:tc>
        <w:tc>
          <w:tcPr>
            <w:tcW w:type="dxa" w:w="468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Median time from risk detection to owned action</w:t>
            </w:r>
          </w:p>
        </w:tc>
        <w:tc>
          <w:tcPr>
            <w:tcW w:type="dxa" w:w="3024"/>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Measures organizational response</w:t>
            </w:r>
          </w:p>
        </w:tc>
      </w:tr>
      <w:tr>
        <w:tc>
          <w:tcPr>
            <w:tcW w:type="dxa" w:w="1656"/>
            <w:vAlign w:val="center"/>
            <w:tcMar>
              <w:top w:w="90" w:type="dxa"/>
              <w:start w:w="120" w:type="dxa"/>
              <w:bottom w:w="90" w:type="dxa"/>
              <w:end w:w="120" w:type="dxa"/>
            </w:tcMar>
          </w:tcPr>
          <w:p>
            <w:pPr>
              <w:spacing w:after="0" w:line="259" w:lineRule="auto"/>
            </w:pPr>
            <w:r/>
            <w:r>
              <w:rPr>
                <w:rFonts w:ascii="Calibri" w:hAnsi="Calibri"/>
                <w:b w:val="0"/>
                <w:color w:val="21313C"/>
                <w:sz w:val="17"/>
              </w:rPr>
              <w:t>Model</w:t>
            </w:r>
          </w:p>
        </w:tc>
        <w:tc>
          <w:tcPr>
            <w:tcW w:type="dxa" w:w="4680"/>
            <w:vAlign w:val="center"/>
            <w:tcMar>
              <w:top w:w="90" w:type="dxa"/>
              <w:start w:w="120" w:type="dxa"/>
              <w:bottom w:w="90" w:type="dxa"/>
              <w:end w:w="120" w:type="dxa"/>
            </w:tcMar>
          </w:tcPr>
          <w:p>
            <w:pPr>
              <w:spacing w:after="0" w:line="259" w:lineRule="auto"/>
            </w:pPr>
            <w:r/>
            <w:r>
              <w:rPr>
                <w:rFonts w:ascii="Calibri" w:hAnsi="Calibri"/>
                <w:b w:val="0"/>
                <w:color w:val="21313C"/>
                <w:sz w:val="17"/>
              </w:rPr>
              <w:t>Alert precision/recall; calibration error; evidence coverage</w:t>
            </w:r>
          </w:p>
        </w:tc>
        <w:tc>
          <w:tcPr>
            <w:tcW w:type="dxa" w:w="3024"/>
            <w:vAlign w:val="center"/>
            <w:tcMar>
              <w:top w:w="90" w:type="dxa"/>
              <w:start w:w="120" w:type="dxa"/>
              <w:bottom w:w="90" w:type="dxa"/>
              <w:end w:w="120" w:type="dxa"/>
            </w:tcMar>
          </w:tcPr>
          <w:p>
            <w:pPr>
              <w:spacing w:after="0" w:line="259" w:lineRule="auto"/>
            </w:pPr>
            <w:r/>
            <w:r>
              <w:rPr>
                <w:rFonts w:ascii="Calibri" w:hAnsi="Calibri"/>
                <w:b w:val="0"/>
                <w:color w:val="21313C"/>
                <w:sz w:val="17"/>
              </w:rPr>
              <w:t>Measures signal reliability</w:t>
            </w:r>
          </w:p>
        </w:tc>
      </w:tr>
      <w:tr>
        <w:tc>
          <w:tcPr>
            <w:tcW w:type="dxa" w:w="1656"/>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Adoption</w:t>
            </w:r>
          </w:p>
        </w:tc>
        <w:tc>
          <w:tcPr>
            <w:tcW w:type="dxa" w:w="468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Weekly active leader/team cohorts; brief approval rate; action conversion</w:t>
            </w:r>
          </w:p>
        </w:tc>
        <w:tc>
          <w:tcPr>
            <w:tcW w:type="dxa" w:w="3024"/>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Measures habit and workflow fit</w:t>
            </w:r>
          </w:p>
        </w:tc>
      </w:tr>
      <w:tr>
        <w:tc>
          <w:tcPr>
            <w:tcW w:type="dxa" w:w="1656"/>
            <w:vAlign w:val="center"/>
            <w:tcMar>
              <w:top w:w="90" w:type="dxa"/>
              <w:start w:w="120" w:type="dxa"/>
              <w:bottom w:w="90" w:type="dxa"/>
              <w:end w:w="120" w:type="dxa"/>
            </w:tcMar>
          </w:tcPr>
          <w:p>
            <w:pPr>
              <w:spacing w:after="0" w:line="259" w:lineRule="auto"/>
            </w:pPr>
            <w:r/>
            <w:r>
              <w:rPr>
                <w:rFonts w:ascii="Calibri" w:hAnsi="Calibri"/>
                <w:b w:val="0"/>
                <w:color w:val="21313C"/>
                <w:sz w:val="17"/>
              </w:rPr>
              <w:t>Guardrail</w:t>
            </w:r>
          </w:p>
        </w:tc>
        <w:tc>
          <w:tcPr>
            <w:tcW w:type="dxa" w:w="4680"/>
            <w:vAlign w:val="center"/>
            <w:tcMar>
              <w:top w:w="90" w:type="dxa"/>
              <w:start w:w="120" w:type="dxa"/>
              <w:bottom w:w="90" w:type="dxa"/>
              <w:end w:w="120" w:type="dxa"/>
            </w:tcMar>
          </w:tcPr>
          <w:p>
            <w:pPr>
              <w:spacing w:after="0" w:line="259" w:lineRule="auto"/>
            </w:pPr>
            <w:r/>
            <w:r>
              <w:rPr>
                <w:rFonts w:ascii="Calibri" w:hAnsi="Calibri"/>
                <w:b w:val="0"/>
                <w:color w:val="21313C"/>
                <w:sz w:val="17"/>
              </w:rPr>
              <w:t>Alert burden; override rate; team trust score; permission incidents</w:t>
            </w:r>
          </w:p>
        </w:tc>
        <w:tc>
          <w:tcPr>
            <w:tcW w:type="dxa" w:w="3024"/>
            <w:vAlign w:val="center"/>
            <w:tcMar>
              <w:top w:w="90" w:type="dxa"/>
              <w:start w:w="120" w:type="dxa"/>
              <w:bottom w:w="90" w:type="dxa"/>
              <w:end w:w="120" w:type="dxa"/>
            </w:tcMar>
          </w:tcPr>
          <w:p>
            <w:pPr>
              <w:spacing w:after="0" w:line="259" w:lineRule="auto"/>
            </w:pPr>
            <w:r/>
            <w:r>
              <w:rPr>
                <w:rFonts w:ascii="Calibri" w:hAnsi="Calibri"/>
                <w:b w:val="0"/>
                <w:color w:val="21313C"/>
                <w:sz w:val="17"/>
              </w:rPr>
              <w:t>Prevents harmful optimization</w:t>
            </w:r>
          </w:p>
        </w:tc>
      </w:tr>
    </w:tbl>
    <w:p>
      <w:pPr>
        <w:spacing w:after="20"/>
      </w:pPr>
    </w:p>
    <w:p>
      <w:pPr>
        <w:pStyle w:val="Heading1"/>
      </w:pPr>
      <w:r>
        <w:t>Value model</w:t>
      </w:r>
    </w:p>
    <w:p>
      <w:r>
        <w:t>A pilot business case should separate direct labor savings from avoided delivery impact:</w:t>
      </w:r>
    </w:p>
    <w:p>
      <w:pPr>
        <w:jc w:val="center"/>
      </w:pPr>
      <w:r>
        <w:rPr>
          <w:b/>
          <w:color w:val="17324D"/>
        </w:rPr>
        <w:t>Annual value = reporting hours avoided × loaded labor rate + mitigated misses × expected impact − platform cost</w:t>
      </w:r>
    </w:p>
    <w:p>
      <w:r>
        <w:t>Avoided-miss value should be presented as a range with explicit assumptions. Do not claim causality from simple before/after comparisons. Use matched teams or staggered rollout where possible, and track whether surfaced risks were both accurate and acted upon.</w:t>
      </w:r>
    </w:p>
    <w:p>
      <w:pPr>
        <w:pStyle w:val="Heading1"/>
      </w:pPr>
      <w:r>
        <w:t>Pilot evaluation design</w:t>
      </w:r>
    </w:p>
    <w:p>
      <w:pPr>
        <w:pStyle w:val="ListNumber"/>
        <w:spacing w:after="80"/>
        <w:ind w:left="461" w:hanging="288"/>
      </w:pPr>
      <w:r>
        <w:t>Establish an 8–12 week baseline for reporting effort, dependency incidents, carryover, and surprise misses.</w:t>
      </w:r>
    </w:p>
    <w:p>
      <w:pPr>
        <w:pStyle w:val="ListNumber"/>
        <w:spacing w:after="80"/>
        <w:ind w:left="461" w:hanging="288"/>
      </w:pPr>
      <w:r>
        <w:t>Launch with 3–5 teams sharing a meaningful release dependency network.</w:t>
      </w:r>
    </w:p>
    <w:p>
      <w:pPr>
        <w:pStyle w:val="ListNumber"/>
        <w:spacing w:after="80"/>
        <w:ind w:left="461" w:hanging="288"/>
      </w:pPr>
      <w:r>
        <w:t>Pre-register thresholds for signal precision, action lead time, and reporting-time reduction.</w:t>
      </w:r>
    </w:p>
    <w:p>
      <w:pPr>
        <w:pStyle w:val="ListNumber"/>
        <w:spacing w:after="80"/>
        <w:ind w:left="461" w:hanging="288"/>
      </w:pPr>
      <w:r>
        <w:t>Run weekly qualitative reviews to identify missing context, harmful signals, and workflow friction.</w:t>
      </w:r>
    </w:p>
    <w:p>
      <w:pPr>
        <w:pStyle w:val="ListNumber"/>
        <w:spacing w:after="80"/>
        <w:ind w:left="461" w:hanging="288"/>
      </w:pPr>
      <w:r>
        <w:t>Compare change against baseline and a similar non-pilot cohort; document confounders.</w:t>
      </w:r>
    </w:p>
    <w:p>
      <w:r>
        <w:br w:type="page"/>
      </w:r>
    </w:p>
    <w:p>
      <w:pPr>
        <w:pStyle w:val="Title"/>
      </w:pPr>
      <w:r>
        <w:t>8. Market strategy and differentiation</w:t>
      </w:r>
    </w:p>
    <w:p>
      <w:r>
        <w:t>Jira already provides workflows, dependencies, dashboards, and AI capabilities. A marketable product cannot win by recreating those surfaces. The differentiation is a cross-source, outcome-centered intelligence model that learns organizational delivery patterns and closes the loop from risk evidence to owned mitigation and calibrated result.</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160"/>
            <w:vAlign w:val="center"/>
            <w:tcMar>
              <w:top w:w="90" w:type="dxa"/>
              <w:start w:w="120" w:type="dxa"/>
              <w:bottom w:w="90" w:type="dxa"/>
              <w:end w:w="120" w:type="dxa"/>
            </w:tcMar>
            <w:shd w:fill="17324D"/>
          </w:tcPr>
          <w:p>
            <w:pPr>
              <w:spacing w:after="0" w:line="259" w:lineRule="auto"/>
            </w:pPr>
            <w:r/>
            <w:r>
              <w:rPr>
                <w:rFonts w:ascii="Calibri" w:hAnsi="Calibri"/>
                <w:b/>
                <w:color w:val="FFFFFF"/>
                <w:sz w:val="18"/>
              </w:rPr>
              <w:t>Alternative</w:t>
            </w:r>
          </w:p>
        </w:tc>
        <w:tc>
          <w:tcPr>
            <w:tcW w:type="dxa" w:w="2952"/>
            <w:vAlign w:val="center"/>
            <w:tcMar>
              <w:top w:w="90" w:type="dxa"/>
              <w:start w:w="120" w:type="dxa"/>
              <w:bottom w:w="90" w:type="dxa"/>
              <w:end w:w="120" w:type="dxa"/>
            </w:tcMar>
            <w:shd w:fill="17324D"/>
          </w:tcPr>
          <w:p>
            <w:pPr>
              <w:spacing w:after="0" w:line="259" w:lineRule="auto"/>
            </w:pPr>
            <w:r/>
            <w:r>
              <w:rPr>
                <w:rFonts w:ascii="Calibri" w:hAnsi="Calibri"/>
                <w:b/>
                <w:color w:val="FFFFFF"/>
                <w:sz w:val="18"/>
              </w:rPr>
              <w:t>Strength</w:t>
            </w:r>
          </w:p>
        </w:tc>
        <w:tc>
          <w:tcPr>
            <w:tcW w:type="dxa" w:w="4248"/>
            <w:vAlign w:val="center"/>
            <w:tcMar>
              <w:top w:w="90" w:type="dxa"/>
              <w:start w:w="120" w:type="dxa"/>
              <w:bottom w:w="90" w:type="dxa"/>
              <w:end w:w="120" w:type="dxa"/>
            </w:tcMar>
            <w:shd w:fill="17324D"/>
          </w:tcPr>
          <w:p>
            <w:pPr>
              <w:spacing w:after="0" w:line="259" w:lineRule="auto"/>
            </w:pPr>
            <w:r/>
            <w:r>
              <w:rPr>
                <w:rFonts w:ascii="Calibri" w:hAnsi="Calibri"/>
                <w:b/>
                <w:color w:val="FFFFFF"/>
                <w:sz w:val="18"/>
              </w:rPr>
              <w:t>Gap addressed by this concept</w:t>
            </w:r>
          </w:p>
        </w:tc>
      </w:tr>
      <w:tr>
        <w:tc>
          <w:tcPr>
            <w:tcW w:type="dxa" w:w="2160"/>
            <w:vAlign w:val="center"/>
            <w:tcMar>
              <w:top w:w="90" w:type="dxa"/>
              <w:start w:w="120" w:type="dxa"/>
              <w:bottom w:w="90" w:type="dxa"/>
              <w:end w:w="120" w:type="dxa"/>
            </w:tcMar>
          </w:tcPr>
          <w:p>
            <w:pPr>
              <w:spacing w:after="0" w:line="259" w:lineRule="auto"/>
            </w:pPr>
            <w:r/>
            <w:r>
              <w:rPr>
                <w:rFonts w:ascii="Calibri" w:hAnsi="Calibri"/>
                <w:b w:val="0"/>
                <w:color w:val="21313C"/>
                <w:sz w:val="17"/>
              </w:rPr>
              <w:t>Native dashboards</w:t>
            </w:r>
          </w:p>
        </w:tc>
        <w:tc>
          <w:tcPr>
            <w:tcW w:type="dxa" w:w="2952"/>
            <w:vAlign w:val="center"/>
            <w:tcMar>
              <w:top w:w="90" w:type="dxa"/>
              <w:start w:w="120" w:type="dxa"/>
              <w:bottom w:w="90" w:type="dxa"/>
              <w:end w:w="120" w:type="dxa"/>
            </w:tcMar>
          </w:tcPr>
          <w:p>
            <w:pPr>
              <w:spacing w:after="0" w:line="259" w:lineRule="auto"/>
            </w:pPr>
            <w:r/>
            <w:r>
              <w:rPr>
                <w:rFonts w:ascii="Calibri" w:hAnsi="Calibri"/>
                <w:b w:val="0"/>
                <w:color w:val="21313C"/>
                <w:sz w:val="17"/>
              </w:rPr>
              <w:t>Immediate, familiar reporting</w:t>
            </w:r>
          </w:p>
        </w:tc>
        <w:tc>
          <w:tcPr>
            <w:tcW w:type="dxa" w:w="4248"/>
            <w:vAlign w:val="center"/>
            <w:tcMar>
              <w:top w:w="90" w:type="dxa"/>
              <w:start w:w="120" w:type="dxa"/>
              <w:bottom w:w="90" w:type="dxa"/>
              <w:end w:w="120" w:type="dxa"/>
            </w:tcMar>
          </w:tcPr>
          <w:p>
            <w:pPr>
              <w:spacing w:after="0" w:line="259" w:lineRule="auto"/>
            </w:pPr>
            <w:r/>
            <w:r>
              <w:rPr>
                <w:rFonts w:ascii="Calibri" w:hAnsi="Calibri"/>
                <w:b w:val="0"/>
                <w:color w:val="21313C"/>
                <w:sz w:val="17"/>
              </w:rPr>
              <w:t>Mostly configured views; limited cross-source causal narrative</w:t>
            </w:r>
          </w:p>
        </w:tc>
      </w:tr>
      <w:tr>
        <w:tc>
          <w:tcPr>
            <w:tcW w:type="dxa" w:w="216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BI / data warehouse</w:t>
            </w:r>
          </w:p>
        </w:tc>
        <w:tc>
          <w:tcPr>
            <w:tcW w:type="dxa" w:w="295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Flexible historical analysis</w:t>
            </w:r>
          </w:p>
        </w:tc>
        <w:tc>
          <w:tcPr>
            <w:tcW w:type="dxa" w:w="4248"/>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High setup burden; weak workflow and intervention loop</w:t>
            </w:r>
          </w:p>
        </w:tc>
      </w:tr>
      <w:tr>
        <w:tc>
          <w:tcPr>
            <w:tcW w:type="dxa" w:w="2160"/>
            <w:vAlign w:val="center"/>
            <w:tcMar>
              <w:top w:w="90" w:type="dxa"/>
              <w:start w:w="120" w:type="dxa"/>
              <w:bottom w:w="90" w:type="dxa"/>
              <w:end w:w="120" w:type="dxa"/>
            </w:tcMar>
          </w:tcPr>
          <w:p>
            <w:pPr>
              <w:spacing w:after="0" w:line="259" w:lineRule="auto"/>
            </w:pPr>
            <w:r/>
            <w:r>
              <w:rPr>
                <w:rFonts w:ascii="Calibri" w:hAnsi="Calibri"/>
                <w:b w:val="0"/>
                <w:color w:val="21313C"/>
                <w:sz w:val="17"/>
              </w:rPr>
              <w:t>Manual program reviews</w:t>
            </w:r>
          </w:p>
        </w:tc>
        <w:tc>
          <w:tcPr>
            <w:tcW w:type="dxa" w:w="2952"/>
            <w:vAlign w:val="center"/>
            <w:tcMar>
              <w:top w:w="90" w:type="dxa"/>
              <w:start w:w="120" w:type="dxa"/>
              <w:bottom w:w="90" w:type="dxa"/>
              <w:end w:w="120" w:type="dxa"/>
            </w:tcMar>
          </w:tcPr>
          <w:p>
            <w:pPr>
              <w:spacing w:after="0" w:line="259" w:lineRule="auto"/>
            </w:pPr>
            <w:r/>
            <w:r>
              <w:rPr>
                <w:rFonts w:ascii="Calibri" w:hAnsi="Calibri"/>
                <w:b w:val="0"/>
                <w:color w:val="21313C"/>
                <w:sz w:val="17"/>
              </w:rPr>
              <w:t>Rich judgment and context</w:t>
            </w:r>
          </w:p>
        </w:tc>
        <w:tc>
          <w:tcPr>
            <w:tcW w:type="dxa" w:w="4248"/>
            <w:vAlign w:val="center"/>
            <w:tcMar>
              <w:top w:w="90" w:type="dxa"/>
              <w:start w:w="120" w:type="dxa"/>
              <w:bottom w:w="90" w:type="dxa"/>
              <w:end w:w="120" w:type="dxa"/>
            </w:tcMar>
          </w:tcPr>
          <w:p>
            <w:pPr>
              <w:spacing w:after="0" w:line="259" w:lineRule="auto"/>
            </w:pPr>
            <w:r/>
            <w:r>
              <w:rPr>
                <w:rFonts w:ascii="Calibri" w:hAnsi="Calibri"/>
                <w:b w:val="0"/>
                <w:color w:val="21313C"/>
                <w:sz w:val="17"/>
              </w:rPr>
              <w:t>Slow, inconsistent, expensive, hard to calibrate</w:t>
            </w:r>
          </w:p>
        </w:tc>
      </w:tr>
      <w:tr>
        <w:tc>
          <w:tcPr>
            <w:tcW w:type="dxa" w:w="216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Generic AI summaries</w:t>
            </w:r>
          </w:p>
        </w:tc>
        <w:tc>
          <w:tcPr>
            <w:tcW w:type="dxa" w:w="295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Fast narrative generation</w:t>
            </w:r>
          </w:p>
        </w:tc>
        <w:tc>
          <w:tcPr>
            <w:tcW w:type="dxa" w:w="4248"/>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May summarize noise; lacks delivery semantics and outcome calibration</w:t>
            </w:r>
          </w:p>
        </w:tc>
      </w:tr>
      <w:tr>
        <w:tc>
          <w:tcPr>
            <w:tcW w:type="dxa" w:w="2160"/>
            <w:vAlign w:val="center"/>
            <w:tcMar>
              <w:top w:w="90" w:type="dxa"/>
              <w:start w:w="120" w:type="dxa"/>
              <w:bottom w:w="90" w:type="dxa"/>
              <w:end w:w="120" w:type="dxa"/>
            </w:tcMar>
          </w:tcPr>
          <w:p>
            <w:pPr>
              <w:spacing w:after="0" w:line="259" w:lineRule="auto"/>
            </w:pPr>
            <w:r/>
            <w:r>
              <w:rPr>
                <w:rFonts w:ascii="Calibri" w:hAnsi="Calibri"/>
                <w:b w:val="0"/>
                <w:color w:val="21313C"/>
                <w:sz w:val="17"/>
              </w:rPr>
              <w:t>Scrum Health Intelligence</w:t>
            </w:r>
          </w:p>
        </w:tc>
        <w:tc>
          <w:tcPr>
            <w:tcW w:type="dxa" w:w="2952"/>
            <w:vAlign w:val="center"/>
            <w:tcMar>
              <w:top w:w="90" w:type="dxa"/>
              <w:start w:w="120" w:type="dxa"/>
              <w:bottom w:w="90" w:type="dxa"/>
              <w:end w:w="120" w:type="dxa"/>
            </w:tcMar>
          </w:tcPr>
          <w:p>
            <w:pPr>
              <w:spacing w:after="0" w:line="259" w:lineRule="auto"/>
            </w:pPr>
            <w:r/>
            <w:r>
              <w:rPr>
                <w:rFonts w:ascii="Calibri" w:hAnsi="Calibri"/>
                <w:b w:val="0"/>
                <w:color w:val="21313C"/>
                <w:sz w:val="17"/>
              </w:rPr>
              <w:t>Evidence-linked risk and dependency decisions</w:t>
            </w:r>
          </w:p>
        </w:tc>
        <w:tc>
          <w:tcPr>
            <w:tcW w:type="dxa" w:w="4248"/>
            <w:vAlign w:val="center"/>
            <w:tcMar>
              <w:top w:w="90" w:type="dxa"/>
              <w:start w:w="120" w:type="dxa"/>
              <w:bottom w:w="90" w:type="dxa"/>
              <w:end w:w="120" w:type="dxa"/>
            </w:tcMar>
          </w:tcPr>
          <w:p>
            <w:pPr>
              <w:spacing w:after="0" w:line="259" w:lineRule="auto"/>
            </w:pPr>
            <w:r/>
            <w:r>
              <w:rPr>
                <w:rFonts w:ascii="Calibri" w:hAnsi="Calibri"/>
                <w:b w:val="0"/>
                <w:color w:val="21313C"/>
                <w:sz w:val="17"/>
              </w:rPr>
              <w:t>Must prove precision, trust, and incremental value</w:t>
            </w:r>
          </w:p>
        </w:tc>
      </w:tr>
    </w:tbl>
    <w:p>
      <w:pPr>
        <w:spacing w:after="20"/>
      </w:pPr>
    </w:p>
    <w:p>
      <w:pPr>
        <w:pStyle w:val="Heading1"/>
      </w:pPr>
      <w:r>
        <w:t>Beachhead and expansion</w:t>
      </w:r>
    </w:p>
    <w:p>
      <w:pPr>
        <w:pStyle w:val="ListBullet"/>
        <w:spacing w:after="80"/>
        <w:ind w:left="403" w:hanging="259"/>
      </w:pPr>
      <w:r>
        <w:t>Beachhead: 200–2,000-person software organizations using Jira Cloud and Confluence Cloud, with multiple teams coordinating releases and recurring executive reporting.</w:t>
      </w:r>
    </w:p>
    <w:p>
      <w:pPr>
        <w:pStyle w:val="ListBullet"/>
        <w:spacing w:after="80"/>
        <w:ind w:left="403" w:hanging="259"/>
      </w:pPr>
      <w:r>
        <w:t>Buyer: VP Engineering, Head of Product Operations, or transformation leader. Champions: TPMs, engineering managers, Scrum Masters, and product operations.</w:t>
      </w:r>
    </w:p>
    <w:p>
      <w:pPr>
        <w:pStyle w:val="ListBullet"/>
        <w:spacing w:after="80"/>
        <w:ind w:left="403" w:hanging="259"/>
      </w:pPr>
      <w:r>
        <w:t>Initial monetization: annual platform fee plus active-team tiers; enterprise governance and portfolio analytics as premium capabilities.</w:t>
      </w:r>
    </w:p>
    <w:p>
      <w:pPr>
        <w:pStyle w:val="ListBullet"/>
        <w:spacing w:after="80"/>
        <w:ind w:left="403" w:hanging="259"/>
      </w:pPr>
      <w:r>
        <w:t>Expansion: release governance, product-goal portfolio intelligence, scenario planning, and additional work/document systems.</w:t>
      </w:r>
    </w:p>
    <w:p>
      <w:pPr>
        <w:pStyle w:val="Heading1"/>
      </w:pPr>
      <w:r>
        <w:t>Defensible assets</w:t>
      </w:r>
    </w:p>
    <w:p>
      <w:pPr>
        <w:pStyle w:val="ListBullet"/>
        <w:spacing w:after="80"/>
        <w:ind w:left="403" w:hanging="259"/>
      </w:pPr>
      <w:r>
        <w:t>A temporal delivery knowledge graph connecting goals, work, decisions, dependencies, risks, and outcomes.</w:t>
      </w:r>
    </w:p>
    <w:p>
      <w:pPr>
        <w:pStyle w:val="ListBullet"/>
        <w:spacing w:after="80"/>
        <w:ind w:left="403" w:hanging="259"/>
      </w:pPr>
      <w:r>
        <w:t>Organization-specific calibration data linking early signals and interventions to actual results.</w:t>
      </w:r>
    </w:p>
    <w:p>
      <w:pPr>
        <w:pStyle w:val="ListBullet"/>
        <w:spacing w:after="80"/>
        <w:ind w:left="403" w:hanging="259"/>
      </w:pPr>
      <w:r>
        <w:t>Embedded feedback loops and trust controls that improve precision and make switching costly.</w:t>
      </w:r>
    </w:p>
    <w:p>
      <w:r>
        <w:br w:type="page"/>
      </w:r>
    </w:p>
    <w:p>
      <w:pPr>
        <w:pStyle w:val="Title"/>
      </w:pPr>
      <w:r>
        <w:t>9. MVP roadmap</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872"/>
            <w:vAlign w:val="center"/>
            <w:tcMar>
              <w:top w:w="90" w:type="dxa"/>
              <w:start w:w="120" w:type="dxa"/>
              <w:bottom w:w="90" w:type="dxa"/>
              <w:end w:w="120" w:type="dxa"/>
            </w:tcMar>
            <w:shd w:fill="17324D"/>
          </w:tcPr>
          <w:p>
            <w:pPr>
              <w:spacing w:after="0" w:line="259" w:lineRule="auto"/>
            </w:pPr>
            <w:r/>
            <w:r>
              <w:rPr>
                <w:rFonts w:ascii="Calibri" w:hAnsi="Calibri"/>
                <w:b/>
                <w:color w:val="FFFFFF"/>
                <w:sz w:val="18"/>
              </w:rPr>
              <w:t>Phase</w:t>
            </w:r>
          </w:p>
        </w:tc>
        <w:tc>
          <w:tcPr>
            <w:tcW w:type="dxa" w:w="4536"/>
            <w:vAlign w:val="center"/>
            <w:tcMar>
              <w:top w:w="90" w:type="dxa"/>
              <w:start w:w="120" w:type="dxa"/>
              <w:bottom w:w="90" w:type="dxa"/>
              <w:end w:w="120" w:type="dxa"/>
            </w:tcMar>
            <w:shd w:fill="17324D"/>
          </w:tcPr>
          <w:p>
            <w:pPr>
              <w:spacing w:after="0" w:line="259" w:lineRule="auto"/>
            </w:pPr>
            <w:r/>
            <w:r>
              <w:rPr>
                <w:rFonts w:ascii="Calibri" w:hAnsi="Calibri"/>
                <w:b/>
                <w:color w:val="FFFFFF"/>
                <w:sz w:val="18"/>
              </w:rPr>
              <w:t>Scope</w:t>
            </w:r>
          </w:p>
        </w:tc>
        <w:tc>
          <w:tcPr>
            <w:tcW w:type="dxa" w:w="2952"/>
            <w:vAlign w:val="center"/>
            <w:tcMar>
              <w:top w:w="90" w:type="dxa"/>
              <w:start w:w="120" w:type="dxa"/>
              <w:bottom w:w="90" w:type="dxa"/>
              <w:end w:w="120" w:type="dxa"/>
            </w:tcMar>
            <w:shd w:fill="17324D"/>
          </w:tcPr>
          <w:p>
            <w:pPr>
              <w:spacing w:after="0" w:line="259" w:lineRule="auto"/>
            </w:pPr>
            <w:r/>
            <w:r>
              <w:rPr>
                <w:rFonts w:ascii="Calibri" w:hAnsi="Calibri"/>
                <w:b/>
                <w:color w:val="FFFFFF"/>
                <w:sz w:val="18"/>
              </w:rPr>
              <w:t>Exit criteria</w:t>
            </w:r>
          </w:p>
        </w:tc>
      </w:tr>
      <w:tr>
        <w:tc>
          <w:tcPr>
            <w:tcW w:type="dxa" w:w="1872"/>
            <w:vAlign w:val="center"/>
            <w:tcMar>
              <w:top w:w="90" w:type="dxa"/>
              <w:start w:w="120" w:type="dxa"/>
              <w:bottom w:w="90" w:type="dxa"/>
              <w:end w:w="120" w:type="dxa"/>
            </w:tcMar>
          </w:tcPr>
          <w:p>
            <w:pPr>
              <w:spacing w:after="0" w:line="259" w:lineRule="auto"/>
            </w:pPr>
            <w:r/>
            <w:r>
              <w:rPr>
                <w:rFonts w:ascii="Calibri" w:hAnsi="Calibri"/>
                <w:b w:val="0"/>
                <w:color w:val="21313C"/>
                <w:sz w:val="17"/>
              </w:rPr>
              <w:t>0 — Discovery (4–6 weeks)</w:t>
            </w:r>
          </w:p>
        </w:tc>
        <w:tc>
          <w:tcPr>
            <w:tcW w:type="dxa" w:w="4536"/>
            <w:vAlign w:val="center"/>
            <w:tcMar>
              <w:top w:w="90" w:type="dxa"/>
              <w:start w:w="120" w:type="dxa"/>
              <w:bottom w:w="90" w:type="dxa"/>
              <w:end w:w="120" w:type="dxa"/>
            </w:tcMar>
          </w:tcPr>
          <w:p>
            <w:pPr>
              <w:spacing w:after="0" w:line="259" w:lineRule="auto"/>
            </w:pPr>
            <w:r/>
            <w:r>
              <w:rPr>
                <w:rFonts w:ascii="Calibri" w:hAnsi="Calibri"/>
                <w:b w:val="0"/>
                <w:color w:val="21313C"/>
                <w:sz w:val="17"/>
              </w:rPr>
              <w:t>Workflow mapping; data-quality audit; 20–30 user interviews; offline historical analysis</w:t>
            </w:r>
          </w:p>
        </w:tc>
        <w:tc>
          <w:tcPr>
            <w:tcW w:type="dxa" w:w="2952"/>
            <w:vAlign w:val="center"/>
            <w:tcMar>
              <w:top w:w="90" w:type="dxa"/>
              <w:start w:w="120" w:type="dxa"/>
              <w:bottom w:w="90" w:type="dxa"/>
              <w:end w:w="120" w:type="dxa"/>
            </w:tcMar>
          </w:tcPr>
          <w:p>
            <w:pPr>
              <w:spacing w:after="0" w:line="259" w:lineRule="auto"/>
            </w:pPr>
            <w:r/>
            <w:r>
              <w:rPr>
                <w:rFonts w:ascii="Calibri" w:hAnsi="Calibri"/>
                <w:b w:val="0"/>
                <w:color w:val="21313C"/>
                <w:sz w:val="17"/>
              </w:rPr>
              <w:t>Three high-value decisions validated; data coverage and baseline established</w:t>
            </w:r>
          </w:p>
        </w:tc>
      </w:tr>
      <w:tr>
        <w:tc>
          <w:tcPr>
            <w:tcW w:type="dxa" w:w="187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1 — Trustworthy brief (8–12 weeks)</w:t>
            </w:r>
          </w:p>
        </w:tc>
        <w:tc>
          <w:tcPr>
            <w:tcW w:type="dxa" w:w="4536"/>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Jira ingestion; approved Confluence retrieval; sprint/release brief; evidence links; feedback</w:t>
            </w:r>
          </w:p>
        </w:tc>
        <w:tc>
          <w:tcPr>
            <w:tcW w:type="dxa" w:w="295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≥80% material-claim evidence coverage; useful precision; reporting time reduced</w:t>
            </w:r>
          </w:p>
        </w:tc>
      </w:tr>
      <w:tr>
        <w:tc>
          <w:tcPr>
            <w:tcW w:type="dxa" w:w="1872"/>
            <w:vAlign w:val="center"/>
            <w:tcMar>
              <w:top w:w="90" w:type="dxa"/>
              <w:start w:w="120" w:type="dxa"/>
              <w:bottom w:w="90" w:type="dxa"/>
              <w:end w:w="120" w:type="dxa"/>
            </w:tcMar>
          </w:tcPr>
          <w:p>
            <w:pPr>
              <w:spacing w:after="0" w:line="259" w:lineRule="auto"/>
            </w:pPr>
            <w:r/>
            <w:r>
              <w:rPr>
                <w:rFonts w:ascii="Calibri" w:hAnsi="Calibri"/>
                <w:b w:val="0"/>
                <w:color w:val="21313C"/>
                <w:sz w:val="17"/>
              </w:rPr>
              <w:t>2 — Dependency intelligence</w:t>
            </w:r>
          </w:p>
        </w:tc>
        <w:tc>
          <w:tcPr>
            <w:tcW w:type="dxa" w:w="4536"/>
            <w:vAlign w:val="center"/>
            <w:tcMar>
              <w:top w:w="90" w:type="dxa"/>
              <w:start w:w="120" w:type="dxa"/>
              <w:bottom w:w="90" w:type="dxa"/>
              <w:end w:w="120" w:type="dxa"/>
            </w:tcMar>
          </w:tcPr>
          <w:p>
            <w:pPr>
              <w:spacing w:after="0" w:line="259" w:lineRule="auto"/>
            </w:pPr>
            <w:r/>
            <w:r>
              <w:rPr>
                <w:rFonts w:ascii="Calibri" w:hAnsi="Calibri"/>
                <w:b w:val="0"/>
                <w:color w:val="21313C"/>
                <w:sz w:val="17"/>
              </w:rPr>
              <w:t>Validated graph; missing-link proposals; owner/date gaps; path exposure</w:t>
            </w:r>
          </w:p>
        </w:tc>
        <w:tc>
          <w:tcPr>
            <w:tcW w:type="dxa" w:w="2952"/>
            <w:vAlign w:val="center"/>
            <w:tcMar>
              <w:top w:w="90" w:type="dxa"/>
              <w:start w:w="120" w:type="dxa"/>
              <w:bottom w:w="90" w:type="dxa"/>
              <w:end w:w="120" w:type="dxa"/>
            </w:tcMar>
          </w:tcPr>
          <w:p>
            <w:pPr>
              <w:spacing w:after="0" w:line="259" w:lineRule="auto"/>
            </w:pPr>
            <w:r/>
            <w:r>
              <w:rPr>
                <w:rFonts w:ascii="Calibri" w:hAnsi="Calibri"/>
                <w:b w:val="0"/>
                <w:color w:val="21313C"/>
                <w:sz w:val="17"/>
              </w:rPr>
              <w:t>Earlier dependency escalation; lower unresolved critical-edge rate</w:t>
            </w:r>
          </w:p>
        </w:tc>
      </w:tr>
      <w:tr>
        <w:tc>
          <w:tcPr>
            <w:tcW w:type="dxa" w:w="187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3 — Portfolio decisions</w:t>
            </w:r>
          </w:p>
        </w:tc>
        <w:tc>
          <w:tcPr>
            <w:tcW w:type="dxa" w:w="4536"/>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Goal/release rollup; exception queue; action tracking; calibration analytics</w:t>
            </w:r>
          </w:p>
        </w:tc>
        <w:tc>
          <w:tcPr>
            <w:tcW w:type="dxa" w:w="295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Leaders use insights in operating review; response time improves</w:t>
            </w:r>
          </w:p>
        </w:tc>
      </w:tr>
      <w:tr>
        <w:tc>
          <w:tcPr>
            <w:tcW w:type="dxa" w:w="1872"/>
            <w:vAlign w:val="center"/>
            <w:tcMar>
              <w:top w:w="90" w:type="dxa"/>
              <w:start w:w="120" w:type="dxa"/>
              <w:bottom w:w="90" w:type="dxa"/>
              <w:end w:w="120" w:type="dxa"/>
            </w:tcMar>
          </w:tcPr>
          <w:p>
            <w:pPr>
              <w:spacing w:after="0" w:line="259" w:lineRule="auto"/>
            </w:pPr>
            <w:r/>
            <w:r>
              <w:rPr>
                <w:rFonts w:ascii="Calibri" w:hAnsi="Calibri"/>
                <w:b w:val="0"/>
                <w:color w:val="21313C"/>
                <w:sz w:val="17"/>
              </w:rPr>
              <w:t>4 — Assisted automation</w:t>
            </w:r>
          </w:p>
        </w:tc>
        <w:tc>
          <w:tcPr>
            <w:tcW w:type="dxa" w:w="4536"/>
            <w:vAlign w:val="center"/>
            <w:tcMar>
              <w:top w:w="90" w:type="dxa"/>
              <w:start w:w="120" w:type="dxa"/>
              <w:bottom w:w="90" w:type="dxa"/>
              <w:end w:w="120" w:type="dxa"/>
            </w:tcMar>
          </w:tcPr>
          <w:p>
            <w:pPr>
              <w:spacing w:after="0" w:line="259" w:lineRule="auto"/>
            </w:pPr>
            <w:r/>
            <w:r>
              <w:rPr>
                <w:rFonts w:ascii="Calibri" w:hAnsi="Calibri"/>
                <w:b w:val="0"/>
                <w:color w:val="21313C"/>
                <w:sz w:val="17"/>
              </w:rPr>
              <w:t>Policy-based briefs, routing, and follow-up; scenario analysis</w:t>
            </w:r>
          </w:p>
        </w:tc>
        <w:tc>
          <w:tcPr>
            <w:tcW w:type="dxa" w:w="2952"/>
            <w:vAlign w:val="center"/>
            <w:tcMar>
              <w:top w:w="90" w:type="dxa"/>
              <w:start w:w="120" w:type="dxa"/>
              <w:bottom w:w="90" w:type="dxa"/>
              <w:end w:w="120" w:type="dxa"/>
            </w:tcMar>
          </w:tcPr>
          <w:p>
            <w:pPr>
              <w:spacing w:after="0" w:line="259" w:lineRule="auto"/>
            </w:pPr>
            <w:r/>
            <w:r>
              <w:rPr>
                <w:rFonts w:ascii="Calibri" w:hAnsi="Calibri"/>
                <w:b w:val="0"/>
                <w:color w:val="21313C"/>
                <w:sz w:val="17"/>
              </w:rPr>
              <w:t>Automation meets trust, security, and error-budget gates</w:t>
            </w:r>
          </w:p>
        </w:tc>
      </w:tr>
    </w:tbl>
    <w:p>
      <w:pPr>
        <w:spacing w:after="20"/>
      </w:pPr>
    </w:p>
    <w:p>
      <w:pPr>
        <w:pStyle w:val="Heading1"/>
      </w:pPr>
      <w:r>
        <w:t>MVP scope discipline</w:t>
      </w:r>
    </w:p>
    <w:p>
      <w:r>
        <w:t>The MVP should solve one repeatable workflow end to end: produce a trusted weekly sprint/release health brief in under five minutes, highlight no more than the most material risks, and convert each accepted risk into an owned action. Dependency inference can begin in shadow mode to collect labels before becoming user-facing.</w:t>
      </w:r>
    </w:p>
    <w:p>
      <w:pPr>
        <w:pStyle w:val="Heading1"/>
      </w:pPr>
      <w:r>
        <w:t>Top product risks and tests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3024"/>
            <w:vAlign w:val="center"/>
            <w:tcMar>
              <w:top w:w="90" w:type="dxa"/>
              <w:start w:w="120" w:type="dxa"/>
              <w:bottom w:w="90" w:type="dxa"/>
              <w:end w:w="120" w:type="dxa"/>
            </w:tcMar>
            <w:shd w:fill="17324D"/>
          </w:tcPr>
          <w:p>
            <w:pPr>
              <w:spacing w:after="0" w:line="259" w:lineRule="auto"/>
            </w:pPr>
            <w:r/>
            <w:r>
              <w:rPr>
                <w:rFonts w:ascii="Calibri" w:hAnsi="Calibri"/>
                <w:b/>
                <w:color w:val="FFFFFF"/>
                <w:sz w:val="18"/>
              </w:rPr>
              <w:t>Assumption</w:t>
            </w:r>
          </w:p>
        </w:tc>
        <w:tc>
          <w:tcPr>
            <w:tcW w:type="dxa" w:w="3240"/>
            <w:vAlign w:val="center"/>
            <w:tcMar>
              <w:top w:w="90" w:type="dxa"/>
              <w:start w:w="120" w:type="dxa"/>
              <w:bottom w:w="90" w:type="dxa"/>
              <w:end w:w="120" w:type="dxa"/>
            </w:tcMar>
            <w:shd w:fill="17324D"/>
          </w:tcPr>
          <w:p>
            <w:pPr>
              <w:spacing w:after="0" w:line="259" w:lineRule="auto"/>
            </w:pPr>
            <w:r/>
            <w:r>
              <w:rPr>
                <w:rFonts w:ascii="Calibri" w:hAnsi="Calibri"/>
                <w:b/>
                <w:color w:val="FFFFFF"/>
                <w:sz w:val="18"/>
              </w:rPr>
              <w:t>Fastest test</w:t>
            </w:r>
          </w:p>
        </w:tc>
        <w:tc>
          <w:tcPr>
            <w:tcW w:type="dxa" w:w="3096"/>
            <w:vAlign w:val="center"/>
            <w:tcMar>
              <w:top w:w="90" w:type="dxa"/>
              <w:start w:w="120" w:type="dxa"/>
              <w:bottom w:w="90" w:type="dxa"/>
              <w:end w:w="120" w:type="dxa"/>
            </w:tcMar>
            <w:shd w:fill="17324D"/>
          </w:tcPr>
          <w:p>
            <w:pPr>
              <w:spacing w:after="0" w:line="259" w:lineRule="auto"/>
            </w:pPr>
            <w:r/>
            <w:r>
              <w:rPr>
                <w:rFonts w:ascii="Calibri" w:hAnsi="Calibri"/>
                <w:b/>
                <w:color w:val="FFFFFF"/>
                <w:sz w:val="18"/>
              </w:rPr>
              <w:t>Kill / pivot signal</w:t>
            </w:r>
          </w:p>
        </w:tc>
      </w:tr>
      <w:tr>
        <w:tc>
          <w:tcPr>
            <w:tcW w:type="dxa" w:w="3024"/>
            <w:vAlign w:val="center"/>
            <w:tcMar>
              <w:top w:w="90" w:type="dxa"/>
              <w:start w:w="120" w:type="dxa"/>
              <w:bottom w:w="90" w:type="dxa"/>
              <w:end w:w="120" w:type="dxa"/>
            </w:tcMar>
          </w:tcPr>
          <w:p>
            <w:pPr>
              <w:spacing w:after="0" w:line="259" w:lineRule="auto"/>
            </w:pPr>
            <w:r/>
            <w:r>
              <w:rPr>
                <w:rFonts w:ascii="Calibri" w:hAnsi="Calibri"/>
                <w:b w:val="0"/>
                <w:color w:val="21313C"/>
                <w:sz w:val="17"/>
              </w:rPr>
              <w:t>Leaders act on earlier warnings</w:t>
            </w:r>
          </w:p>
        </w:tc>
        <w:tc>
          <w:tcPr>
            <w:tcW w:type="dxa" w:w="3240"/>
            <w:vAlign w:val="center"/>
            <w:tcMar>
              <w:top w:w="90" w:type="dxa"/>
              <w:start w:w="120" w:type="dxa"/>
              <w:bottom w:w="90" w:type="dxa"/>
              <w:end w:w="120" w:type="dxa"/>
            </w:tcMar>
          </w:tcPr>
          <w:p>
            <w:pPr>
              <w:spacing w:after="0" w:line="259" w:lineRule="auto"/>
            </w:pPr>
            <w:r/>
            <w:r>
              <w:rPr>
                <w:rFonts w:ascii="Calibri" w:hAnsi="Calibri"/>
                <w:b w:val="0"/>
                <w:color w:val="21313C"/>
                <w:sz w:val="17"/>
              </w:rPr>
              <w:t>Concierge briefs in existing review meetings</w:t>
            </w:r>
          </w:p>
        </w:tc>
        <w:tc>
          <w:tcPr>
            <w:tcW w:type="dxa" w:w="3096"/>
            <w:vAlign w:val="center"/>
            <w:tcMar>
              <w:top w:w="90" w:type="dxa"/>
              <w:start w:w="120" w:type="dxa"/>
              <w:bottom w:w="90" w:type="dxa"/>
              <w:end w:w="120" w:type="dxa"/>
            </w:tcMar>
          </w:tcPr>
          <w:p>
            <w:pPr>
              <w:spacing w:after="0" w:line="259" w:lineRule="auto"/>
            </w:pPr>
            <w:r/>
            <w:r>
              <w:rPr>
                <w:rFonts w:ascii="Calibri" w:hAnsi="Calibri"/>
                <w:b w:val="0"/>
                <w:color w:val="21313C"/>
                <w:sz w:val="17"/>
              </w:rPr>
              <w:t>Briefs are read but do not change decisions</w:t>
            </w:r>
          </w:p>
        </w:tc>
      </w:tr>
      <w:tr>
        <w:tc>
          <w:tcPr>
            <w:tcW w:type="dxa" w:w="3024"/>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Jira/Confluence contain enough context</w:t>
            </w:r>
          </w:p>
        </w:tc>
        <w:tc>
          <w:tcPr>
            <w:tcW w:type="dxa" w:w="324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Historical reconstruction of 10–15 misses</w:t>
            </w:r>
          </w:p>
        </w:tc>
        <w:tc>
          <w:tcPr>
            <w:tcW w:type="dxa" w:w="3096"/>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Most causes exist only in inaccessible channels</w:t>
            </w:r>
          </w:p>
        </w:tc>
      </w:tr>
      <w:tr>
        <w:tc>
          <w:tcPr>
            <w:tcW w:type="dxa" w:w="3024"/>
            <w:vAlign w:val="center"/>
            <w:tcMar>
              <w:top w:w="90" w:type="dxa"/>
              <w:start w:w="120" w:type="dxa"/>
              <w:bottom w:w="90" w:type="dxa"/>
              <w:end w:w="120" w:type="dxa"/>
            </w:tcMar>
          </w:tcPr>
          <w:p>
            <w:pPr>
              <w:spacing w:after="0" w:line="259" w:lineRule="auto"/>
            </w:pPr>
            <w:r/>
            <w:r>
              <w:rPr>
                <w:rFonts w:ascii="Calibri" w:hAnsi="Calibri"/>
                <w:b w:val="0"/>
                <w:color w:val="21313C"/>
                <w:sz w:val="17"/>
              </w:rPr>
              <w:t>Teams will correct AI signals</w:t>
            </w:r>
          </w:p>
        </w:tc>
        <w:tc>
          <w:tcPr>
            <w:tcW w:type="dxa" w:w="3240"/>
            <w:vAlign w:val="center"/>
            <w:tcMar>
              <w:top w:w="90" w:type="dxa"/>
              <w:start w:w="120" w:type="dxa"/>
              <w:bottom w:w="90" w:type="dxa"/>
              <w:end w:w="120" w:type="dxa"/>
            </w:tcMar>
          </w:tcPr>
          <w:p>
            <w:pPr>
              <w:spacing w:after="0" w:line="259" w:lineRule="auto"/>
            </w:pPr>
            <w:r/>
            <w:r>
              <w:rPr>
                <w:rFonts w:ascii="Calibri" w:hAnsi="Calibri"/>
                <w:b w:val="0"/>
                <w:color w:val="21313C"/>
                <w:sz w:val="17"/>
              </w:rPr>
              <w:t>Clickable evidence + one-step feedback prototype</w:t>
            </w:r>
          </w:p>
        </w:tc>
        <w:tc>
          <w:tcPr>
            <w:tcW w:type="dxa" w:w="3096"/>
            <w:vAlign w:val="center"/>
            <w:tcMar>
              <w:top w:w="90" w:type="dxa"/>
              <w:start w:w="120" w:type="dxa"/>
              <w:bottom w:w="90" w:type="dxa"/>
              <w:end w:w="120" w:type="dxa"/>
            </w:tcMar>
          </w:tcPr>
          <w:p>
            <w:pPr>
              <w:spacing w:after="0" w:line="259" w:lineRule="auto"/>
            </w:pPr>
            <w:r/>
            <w:r>
              <w:rPr>
                <w:rFonts w:ascii="Calibri" w:hAnsi="Calibri"/>
                <w:b w:val="0"/>
                <w:color w:val="21313C"/>
                <w:sz w:val="17"/>
              </w:rPr>
              <w:t>High distrust or low correction participation</w:t>
            </w:r>
          </w:p>
        </w:tc>
      </w:tr>
      <w:tr>
        <w:tc>
          <w:tcPr>
            <w:tcW w:type="dxa" w:w="3024"/>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Customers will pay beyond native tools</w:t>
            </w:r>
          </w:p>
        </w:tc>
        <w:tc>
          <w:tcPr>
            <w:tcW w:type="dxa" w:w="324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Pricing interviews and paid design-partner pilot</w:t>
            </w:r>
          </w:p>
        </w:tc>
        <w:tc>
          <w:tcPr>
            <w:tcW w:type="dxa" w:w="3096"/>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Value perceived as a dashboard feature, not a product</w:t>
            </w:r>
          </w:p>
        </w:tc>
      </w:tr>
    </w:tbl>
    <w:p>
      <w:pPr>
        <w:spacing w:after="20"/>
      </w:pPr>
    </w:p>
    <w:p>
      <w:r>
        <w:br w:type="page"/>
      </w:r>
    </w:p>
    <w:p>
      <w:pPr>
        <w:pStyle w:val="Title"/>
      </w:pPr>
      <w:r>
        <w:t>10. Decision and conclusion</w:t>
      </w:r>
    </w:p>
    <w:p>
      <w:pPr>
        <w:pStyle w:val="Lead"/>
      </w:pPr>
      <w:r>
        <w:t>The strongest version of this product is not an automated Scrum scorecard. It is an early-warning and decision-support layer that respects Scrum's empirical foundation: make work and evidence more transparent, improve inspection, and shorten the path to adaptation.</w:t>
      </w:r>
    </w:p>
    <w:p>
      <w:r>
        <w:t>The commercial opportunity rests on a specific wedge: remove the recurring cost and ambiguity of delivery health reporting while finding material risks earlier. If the product can demonstrate credible lead time, accurate dependency exposure, and materially lower reporting effort—without eroding team trust—it can expand from a reporting assistant into a system of intelligence for product delivery.</w:t>
      </w:r>
    </w:p>
    <w:tbl>
      <w:tblPr>
        <w:tblW w:type="auto" w:w="0"/>
        <w:jc w:val="center"/>
        <w:tblLayout w:type="fixed"/>
        <w:tblLook w:firstColumn="1" w:firstRow="1" w:lastColumn="0" w:lastRow="0" w:noHBand="0" w:noVBand="1" w:val="04A0"/>
      </w:tblPr>
      <w:tblGrid>
        <w:gridCol w:w="9360"/>
      </w:tblGrid>
      <w:tr>
        <w:tc>
          <w:tcPr>
            <w:tcW w:type="dxa" w:w="9360"/>
            <w:shd w:fill="EAF4F5"/>
            <w:tcMar>
              <w:top w:w="150" w:type="dxa"/>
              <w:start w:w="180" w:type="dxa"/>
              <w:bottom w:w="150" w:type="dxa"/>
              <w:end w:w="180" w:type="dxa"/>
            </w:tcMar>
          </w:tcPr>
          <w:p>
            <w:pPr>
              <w:spacing w:after="40"/>
            </w:pPr>
            <w:r/>
            <w:r>
              <w:rPr>
                <w:b/>
                <w:color w:val="2A9D8F"/>
                <w:sz w:val="18"/>
              </w:rPr>
              <w:t xml:space="preserve">GO-FORWARD DECISION  </w:t>
            </w:r>
            <w:r>
              <w:rPr>
                <w:b/>
                <w:color w:val="17324D"/>
                <w:sz w:val="22"/>
              </w:rPr>
              <w:t>Fund a design-partner discovery and offline-validation phase before building a broad dashboard. Prove three things first: sufficient source evidence, actionable risk lead time, and willingness to pay for the closed-loop workflow.</w:t>
            </w:r>
          </w:p>
        </w:tc>
      </w:tr>
    </w:tbl>
    <w:p>
      <w:pPr>
        <w:spacing w:after="20"/>
      </w:pPr>
    </w:p>
    <w:p>
      <w:pPr>
        <w:pStyle w:val="Heading1"/>
      </w:pPr>
      <w:r>
        <w:t>Discovery questions</w:t>
      </w:r>
    </w:p>
    <w:p>
      <w:pPr>
        <w:pStyle w:val="ListBullet"/>
        <w:spacing w:after="80"/>
        <w:ind w:left="403" w:hanging="259"/>
      </w:pPr>
      <w:r>
        <w:t>Which executive decisions repeatedly require manual reconciliation of Jira and Confluence?</w:t>
      </w:r>
    </w:p>
    <w:p>
      <w:pPr>
        <w:pStyle w:val="ListBullet"/>
        <w:spacing w:after="80"/>
        <w:ind w:left="403" w:hanging="259"/>
      </w:pPr>
      <w:r>
        <w:t>How early must a risk be identified for mitigation to remain practical?</w:t>
      </w:r>
    </w:p>
    <w:p>
      <w:pPr>
        <w:pStyle w:val="ListBullet"/>
        <w:spacing w:after="80"/>
        <w:ind w:left="403" w:hanging="259"/>
      </w:pPr>
      <w:r>
        <w:t>Which dependency failures create the largest business impact, and how were they first visible?</w:t>
      </w:r>
    </w:p>
    <w:p>
      <w:pPr>
        <w:pStyle w:val="ListBullet"/>
        <w:spacing w:after="80"/>
        <w:ind w:left="403" w:hanging="259"/>
      </w:pPr>
      <w:r>
        <w:t>What evidence would make teams trust, correct, and act on an AI-generated assessment?</w:t>
      </w:r>
    </w:p>
    <w:p>
      <w:pPr>
        <w:pStyle w:val="ListBullet"/>
        <w:spacing w:after="80"/>
        <w:ind w:left="403" w:hanging="259"/>
      </w:pPr>
      <w:r>
        <w:t>Which native Jira capabilities are already sufficient, and where does cross-source intelligence create incremental value?</w:t>
      </w:r>
    </w:p>
    <w:p>
      <w:r>
        <w:br w:type="page"/>
      </w:r>
    </w:p>
    <w:p>
      <w:pPr>
        <w:pStyle w:val="Title"/>
      </w:pPr>
      <w:r>
        <w:t>Appendix A — Signal dictionary</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088"/>
            <w:vAlign w:val="center"/>
            <w:tcMar>
              <w:top w:w="90" w:type="dxa"/>
              <w:start w:w="120" w:type="dxa"/>
              <w:bottom w:w="90" w:type="dxa"/>
              <w:end w:w="120" w:type="dxa"/>
            </w:tcMar>
            <w:shd w:fill="17324D"/>
          </w:tcPr>
          <w:p>
            <w:pPr>
              <w:spacing w:after="0" w:line="259" w:lineRule="auto"/>
            </w:pPr>
            <w:r/>
            <w:r>
              <w:rPr>
                <w:rFonts w:ascii="Calibri" w:hAnsi="Calibri"/>
                <w:b/>
                <w:color w:val="FFFFFF"/>
                <w:sz w:val="18"/>
              </w:rPr>
              <w:t>Signal</w:t>
            </w:r>
          </w:p>
        </w:tc>
        <w:tc>
          <w:tcPr>
            <w:tcW w:type="dxa" w:w="4320"/>
            <w:vAlign w:val="center"/>
            <w:tcMar>
              <w:top w:w="90" w:type="dxa"/>
              <w:start w:w="120" w:type="dxa"/>
              <w:bottom w:w="90" w:type="dxa"/>
              <w:end w:w="120" w:type="dxa"/>
            </w:tcMar>
            <w:shd w:fill="17324D"/>
          </w:tcPr>
          <w:p>
            <w:pPr>
              <w:spacing w:after="0" w:line="259" w:lineRule="auto"/>
            </w:pPr>
            <w:r/>
            <w:r>
              <w:rPr>
                <w:rFonts w:ascii="Calibri" w:hAnsi="Calibri"/>
                <w:b/>
                <w:color w:val="FFFFFF"/>
                <w:sz w:val="18"/>
              </w:rPr>
              <w:t>Definition</w:t>
            </w:r>
          </w:p>
        </w:tc>
        <w:tc>
          <w:tcPr>
            <w:tcW w:type="dxa" w:w="2952"/>
            <w:vAlign w:val="center"/>
            <w:tcMar>
              <w:top w:w="90" w:type="dxa"/>
              <w:start w:w="120" w:type="dxa"/>
              <w:bottom w:w="90" w:type="dxa"/>
              <w:end w:w="120" w:type="dxa"/>
            </w:tcMar>
            <w:shd w:fill="17324D"/>
          </w:tcPr>
          <w:p>
            <w:pPr>
              <w:spacing w:after="0" w:line="259" w:lineRule="auto"/>
            </w:pPr>
            <w:r/>
            <w:r>
              <w:rPr>
                <w:rFonts w:ascii="Calibri" w:hAnsi="Calibri"/>
                <w:b/>
                <w:color w:val="FFFFFF"/>
                <w:sz w:val="18"/>
              </w:rPr>
              <w:t>Caution</w:t>
            </w:r>
          </w:p>
        </w:tc>
      </w:tr>
      <w:tr>
        <w:tc>
          <w:tcPr>
            <w:tcW w:type="dxa" w:w="2088"/>
            <w:vAlign w:val="center"/>
            <w:tcMar>
              <w:top w:w="90" w:type="dxa"/>
              <w:start w:w="120" w:type="dxa"/>
              <w:bottom w:w="90" w:type="dxa"/>
              <w:end w:w="120" w:type="dxa"/>
            </w:tcMar>
          </w:tcPr>
          <w:p>
            <w:pPr>
              <w:spacing w:after="0" w:line="259" w:lineRule="auto"/>
            </w:pPr>
            <w:r/>
            <w:r>
              <w:rPr>
                <w:rFonts w:ascii="Calibri" w:hAnsi="Calibri"/>
                <w:b w:val="0"/>
                <w:color w:val="21313C"/>
                <w:sz w:val="17"/>
              </w:rPr>
              <w:t>Blocked age</w:t>
            </w:r>
          </w:p>
        </w:tc>
        <w:tc>
          <w:tcPr>
            <w:tcW w:type="dxa" w:w="4320"/>
            <w:vAlign w:val="center"/>
            <w:tcMar>
              <w:top w:w="90" w:type="dxa"/>
              <w:start w:w="120" w:type="dxa"/>
              <w:bottom w:w="90" w:type="dxa"/>
              <w:end w:w="120" w:type="dxa"/>
            </w:tcMar>
          </w:tcPr>
          <w:p>
            <w:pPr>
              <w:spacing w:after="0" w:line="259" w:lineRule="auto"/>
            </w:pPr>
            <w:r/>
            <w:r>
              <w:rPr>
                <w:rFonts w:ascii="Calibri" w:hAnsi="Calibri"/>
                <w:b w:val="0"/>
                <w:color w:val="21313C"/>
                <w:sz w:val="17"/>
              </w:rPr>
              <w:t>Elapsed working time in a configured blocked state</w:t>
            </w:r>
          </w:p>
        </w:tc>
        <w:tc>
          <w:tcPr>
            <w:tcW w:type="dxa" w:w="2952"/>
            <w:vAlign w:val="center"/>
            <w:tcMar>
              <w:top w:w="90" w:type="dxa"/>
              <w:start w:w="120" w:type="dxa"/>
              <w:bottom w:w="90" w:type="dxa"/>
              <w:end w:w="120" w:type="dxa"/>
            </w:tcMar>
          </w:tcPr>
          <w:p>
            <w:pPr>
              <w:spacing w:after="0" w:line="259" w:lineRule="auto"/>
            </w:pPr>
            <w:r/>
            <w:r>
              <w:rPr>
                <w:rFonts w:ascii="Calibri" w:hAnsi="Calibri"/>
                <w:b w:val="0"/>
                <w:color w:val="21313C"/>
                <w:sz w:val="17"/>
              </w:rPr>
              <w:t>Status hygiene varies by team</w:t>
            </w:r>
          </w:p>
        </w:tc>
      </w:tr>
      <w:tr>
        <w:tc>
          <w:tcPr>
            <w:tcW w:type="dxa" w:w="2088"/>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Cycle-time deviation</w:t>
            </w:r>
          </w:p>
        </w:tc>
        <w:tc>
          <w:tcPr>
            <w:tcW w:type="dxa" w:w="432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Current item age relative to team/issue-type baseline</w:t>
            </w:r>
          </w:p>
        </w:tc>
        <w:tc>
          <w:tcPr>
            <w:tcW w:type="dxa" w:w="295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Avoid comparison across unlike work</w:t>
            </w:r>
          </w:p>
        </w:tc>
      </w:tr>
      <w:tr>
        <w:tc>
          <w:tcPr>
            <w:tcW w:type="dxa" w:w="2088"/>
            <w:vAlign w:val="center"/>
            <w:tcMar>
              <w:top w:w="90" w:type="dxa"/>
              <w:start w:w="120" w:type="dxa"/>
              <w:bottom w:w="90" w:type="dxa"/>
              <w:end w:w="120" w:type="dxa"/>
            </w:tcMar>
          </w:tcPr>
          <w:p>
            <w:pPr>
              <w:spacing w:after="0" w:line="259" w:lineRule="auto"/>
            </w:pPr>
            <w:r/>
            <w:r>
              <w:rPr>
                <w:rFonts w:ascii="Calibri" w:hAnsi="Calibri"/>
                <w:b w:val="0"/>
                <w:color w:val="21313C"/>
                <w:sz w:val="17"/>
              </w:rPr>
              <w:t>Scope volatility</w:t>
            </w:r>
          </w:p>
        </w:tc>
        <w:tc>
          <w:tcPr>
            <w:tcW w:type="dxa" w:w="4320"/>
            <w:vAlign w:val="center"/>
            <w:tcMar>
              <w:top w:w="90" w:type="dxa"/>
              <w:start w:w="120" w:type="dxa"/>
              <w:bottom w:w="90" w:type="dxa"/>
              <w:end w:w="120" w:type="dxa"/>
            </w:tcMar>
          </w:tcPr>
          <w:p>
            <w:pPr>
              <w:spacing w:after="0" w:line="259" w:lineRule="auto"/>
            </w:pPr>
            <w:r/>
            <w:r>
              <w:rPr>
                <w:rFonts w:ascii="Calibri" w:hAnsi="Calibri"/>
                <w:b w:val="0"/>
                <w:color w:val="21313C"/>
                <w:sz w:val="17"/>
              </w:rPr>
              <w:t>Goal-linked scope added, removed, or materially changed after start</w:t>
            </w:r>
          </w:p>
        </w:tc>
        <w:tc>
          <w:tcPr>
            <w:tcW w:type="dxa" w:w="2952"/>
            <w:vAlign w:val="center"/>
            <w:tcMar>
              <w:top w:w="90" w:type="dxa"/>
              <w:start w:w="120" w:type="dxa"/>
              <w:bottom w:w="90" w:type="dxa"/>
              <w:end w:w="120" w:type="dxa"/>
            </w:tcMar>
          </w:tcPr>
          <w:p>
            <w:pPr>
              <w:spacing w:after="0" w:line="259" w:lineRule="auto"/>
            </w:pPr>
            <w:r/>
            <w:r>
              <w:rPr>
                <w:rFonts w:ascii="Calibri" w:hAnsi="Calibri"/>
                <w:b w:val="0"/>
                <w:color w:val="21313C"/>
                <w:sz w:val="17"/>
              </w:rPr>
              <w:t>Change may be intentional learning</w:t>
            </w:r>
          </w:p>
        </w:tc>
      </w:tr>
      <w:tr>
        <w:tc>
          <w:tcPr>
            <w:tcW w:type="dxa" w:w="2088"/>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Carryover propensity</w:t>
            </w:r>
          </w:p>
        </w:tc>
        <w:tc>
          <w:tcPr>
            <w:tcW w:type="dxa" w:w="432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Calibrated likelihood that committed work remains incomplete</w:t>
            </w:r>
          </w:p>
        </w:tc>
        <w:tc>
          <w:tcPr>
            <w:tcW w:type="dxa" w:w="295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Never convert to individual score</w:t>
            </w:r>
          </w:p>
        </w:tc>
      </w:tr>
      <w:tr>
        <w:tc>
          <w:tcPr>
            <w:tcW w:type="dxa" w:w="2088"/>
            <w:vAlign w:val="center"/>
            <w:tcMar>
              <w:top w:w="90" w:type="dxa"/>
              <w:start w:w="120" w:type="dxa"/>
              <w:bottom w:w="90" w:type="dxa"/>
              <w:end w:w="120" w:type="dxa"/>
            </w:tcMar>
          </w:tcPr>
          <w:p>
            <w:pPr>
              <w:spacing w:after="0" w:line="259" w:lineRule="auto"/>
            </w:pPr>
            <w:r/>
            <w:r>
              <w:rPr>
                <w:rFonts w:ascii="Calibri" w:hAnsi="Calibri"/>
                <w:b w:val="0"/>
                <w:color w:val="21313C"/>
                <w:sz w:val="17"/>
              </w:rPr>
              <w:t>Dependency slack</w:t>
            </w:r>
          </w:p>
        </w:tc>
        <w:tc>
          <w:tcPr>
            <w:tcW w:type="dxa" w:w="4320"/>
            <w:vAlign w:val="center"/>
            <w:tcMar>
              <w:top w:w="90" w:type="dxa"/>
              <w:start w:w="120" w:type="dxa"/>
              <w:bottom w:w="90" w:type="dxa"/>
              <w:end w:w="120" w:type="dxa"/>
            </w:tcMar>
          </w:tcPr>
          <w:p>
            <w:pPr>
              <w:spacing w:after="0" w:line="259" w:lineRule="auto"/>
            </w:pPr>
            <w:r/>
            <w:r>
              <w:rPr>
                <w:rFonts w:ascii="Calibri" w:hAnsi="Calibri"/>
                <w:b w:val="0"/>
                <w:color w:val="21313C"/>
                <w:sz w:val="17"/>
              </w:rPr>
              <w:t>Time between forecasted prerequisite completion and required-by date</w:t>
            </w:r>
          </w:p>
        </w:tc>
        <w:tc>
          <w:tcPr>
            <w:tcW w:type="dxa" w:w="2952"/>
            <w:vAlign w:val="center"/>
            <w:tcMar>
              <w:top w:w="90" w:type="dxa"/>
              <w:start w:w="120" w:type="dxa"/>
              <w:bottom w:w="90" w:type="dxa"/>
              <w:end w:w="120" w:type="dxa"/>
            </w:tcMar>
          </w:tcPr>
          <w:p>
            <w:pPr>
              <w:spacing w:after="0" w:line="259" w:lineRule="auto"/>
            </w:pPr>
            <w:r/>
            <w:r>
              <w:rPr>
                <w:rFonts w:ascii="Calibri" w:hAnsi="Calibri"/>
                <w:b w:val="0"/>
                <w:color w:val="21313C"/>
                <w:sz w:val="17"/>
              </w:rPr>
              <w:t>Forecast uncertainty must propagate</w:t>
            </w:r>
          </w:p>
        </w:tc>
      </w:tr>
      <w:tr>
        <w:tc>
          <w:tcPr>
            <w:tcW w:type="dxa" w:w="2088"/>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Ownership completeness</w:t>
            </w:r>
          </w:p>
        </w:tc>
        <w:tc>
          <w:tcPr>
            <w:tcW w:type="dxa" w:w="432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Critical risks/dependencies with named accountable owner and date</w:t>
            </w:r>
          </w:p>
        </w:tc>
        <w:tc>
          <w:tcPr>
            <w:tcW w:type="dxa" w:w="295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Names indicate accountability, not performance</w:t>
            </w:r>
          </w:p>
        </w:tc>
      </w:tr>
      <w:tr>
        <w:tc>
          <w:tcPr>
            <w:tcW w:type="dxa" w:w="2088"/>
            <w:vAlign w:val="center"/>
            <w:tcMar>
              <w:top w:w="90" w:type="dxa"/>
              <w:start w:w="120" w:type="dxa"/>
              <w:bottom w:w="90" w:type="dxa"/>
              <w:end w:w="120" w:type="dxa"/>
            </w:tcMar>
          </w:tcPr>
          <w:p>
            <w:pPr>
              <w:spacing w:after="0" w:line="259" w:lineRule="auto"/>
            </w:pPr>
            <w:r/>
            <w:r>
              <w:rPr>
                <w:rFonts w:ascii="Calibri" w:hAnsi="Calibri"/>
                <w:b w:val="0"/>
                <w:color w:val="21313C"/>
                <w:sz w:val="17"/>
              </w:rPr>
              <w:t>Goal coverage</w:t>
            </w:r>
          </w:p>
        </w:tc>
        <w:tc>
          <w:tcPr>
            <w:tcW w:type="dxa" w:w="4320"/>
            <w:vAlign w:val="center"/>
            <w:tcMar>
              <w:top w:w="90" w:type="dxa"/>
              <w:start w:w="120" w:type="dxa"/>
              <w:bottom w:w="90" w:type="dxa"/>
              <w:end w:w="120" w:type="dxa"/>
            </w:tcMar>
          </w:tcPr>
          <w:p>
            <w:pPr>
              <w:spacing w:after="0" w:line="259" w:lineRule="auto"/>
            </w:pPr>
            <w:r/>
            <w:r>
              <w:rPr>
                <w:rFonts w:ascii="Calibri" w:hAnsi="Calibri"/>
                <w:b w:val="0"/>
                <w:color w:val="21313C"/>
                <w:sz w:val="17"/>
              </w:rPr>
              <w:t>Share of goal evidence mapped to deliverable work and acceptance criteria</w:t>
            </w:r>
          </w:p>
        </w:tc>
        <w:tc>
          <w:tcPr>
            <w:tcW w:type="dxa" w:w="2952"/>
            <w:vAlign w:val="center"/>
            <w:tcMar>
              <w:top w:w="90" w:type="dxa"/>
              <w:start w:w="120" w:type="dxa"/>
              <w:bottom w:w="90" w:type="dxa"/>
              <w:end w:w="120" w:type="dxa"/>
            </w:tcMar>
          </w:tcPr>
          <w:p>
            <w:pPr>
              <w:spacing w:after="0" w:line="259" w:lineRule="auto"/>
            </w:pPr>
            <w:r/>
            <w:r>
              <w:rPr>
                <w:rFonts w:ascii="Calibri" w:hAnsi="Calibri"/>
                <w:b w:val="0"/>
                <w:color w:val="21313C"/>
                <w:sz w:val="17"/>
              </w:rPr>
              <w:t>Mapping quality affects usefulness</w:t>
            </w:r>
          </w:p>
        </w:tc>
      </w:tr>
      <w:tr>
        <w:tc>
          <w:tcPr>
            <w:tcW w:type="dxa" w:w="2088"/>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Evidence freshness</w:t>
            </w:r>
          </w:p>
        </w:tc>
        <w:tc>
          <w:tcPr>
            <w:tcW w:type="dxa" w:w="4320"/>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Age of source data supporting the assessment</w:t>
            </w:r>
          </w:p>
        </w:tc>
        <w:tc>
          <w:tcPr>
            <w:tcW w:type="dxa" w:w="2952"/>
            <w:vAlign w:val="center"/>
            <w:tcMar>
              <w:top w:w="90" w:type="dxa"/>
              <w:start w:w="120" w:type="dxa"/>
              <w:bottom w:w="90" w:type="dxa"/>
              <w:end w:w="120" w:type="dxa"/>
            </w:tcMar>
            <w:shd w:fill="F3F6F8"/>
          </w:tcPr>
          <w:p>
            <w:pPr>
              <w:spacing w:after="0" w:line="259" w:lineRule="auto"/>
            </w:pPr>
            <w:r/>
            <w:r>
              <w:rPr>
                <w:rFonts w:ascii="Calibri" w:hAnsi="Calibri"/>
                <w:b w:val="0"/>
                <w:color w:val="21313C"/>
                <w:sz w:val="17"/>
              </w:rPr>
              <w:t>Stale evidence lowers confidence</w:t>
            </w:r>
          </w:p>
        </w:tc>
      </w:tr>
    </w:tbl>
    <w:p>
      <w:pPr>
        <w:spacing w:after="20"/>
      </w:pPr>
    </w:p>
    <w:p>
      <w:pPr>
        <w:pStyle w:val="Title"/>
      </w:pPr>
      <w:r>
        <w:t>Appendix B — Example executive brief</w:t>
      </w:r>
    </w:p>
    <w:tbl>
      <w:tblPr>
        <w:tblW w:type="auto" w:w="0"/>
        <w:jc w:val="center"/>
        <w:tblLayout w:type="fixed"/>
        <w:tblLook w:firstColumn="1" w:firstRow="1" w:lastColumn="0" w:lastRow="0" w:noHBand="0" w:noVBand="1" w:val="04A0"/>
      </w:tblPr>
      <w:tblGrid>
        <w:gridCol w:w="9360"/>
      </w:tblGrid>
      <w:tr>
        <w:tc>
          <w:tcPr>
            <w:tcW w:type="dxa" w:w="9360"/>
            <w:shd w:fill="FFF4E2"/>
            <w:tcMar>
              <w:top w:w="150" w:type="dxa"/>
              <w:start w:w="180" w:type="dxa"/>
              <w:bottom w:w="150" w:type="dxa"/>
              <w:end w:w="180" w:type="dxa"/>
            </w:tcMar>
          </w:tcPr>
          <w:p>
            <w:pPr>
              <w:spacing w:after="40"/>
            </w:pPr>
            <w:r/>
            <w:r>
              <w:rPr>
                <w:b/>
                <w:color w:val="2A9D8F"/>
                <w:sz w:val="18"/>
              </w:rPr>
              <w:t xml:space="preserve">OVERALL  </w:t>
            </w:r>
            <w:r>
              <w:rPr>
                <w:b/>
                <w:color w:val="17324D"/>
                <w:sz w:val="22"/>
              </w:rPr>
              <w:t>Release Atlas remains MEDIUM confidence. The primary exposure is an unconfirmed Identity API dependency affecting two goal-critical epics. Confidence is 0.76; source freshness is 94%.</w:t>
            </w:r>
          </w:p>
        </w:tc>
      </w:tr>
    </w:tbl>
    <w:p>
      <w:pPr>
        <w:spacing w:after="20"/>
      </w:pPr>
    </w:p>
    <w:p>
      <w:pPr>
        <w:pStyle w:val="ListBullet"/>
        <w:spacing w:after="80"/>
        <w:ind w:left="403" w:hanging="259"/>
      </w:pPr>
      <w:r>
        <w:t>Changed: required-by date moved five working days earlier in the launch plan; Jira dependency links were not updated.</w:t>
      </w:r>
    </w:p>
    <w:p>
      <w:pPr>
        <w:pStyle w:val="ListBullet"/>
        <w:spacing w:after="80"/>
        <w:ind w:left="403" w:hanging="259"/>
      </w:pPr>
      <w:r>
        <w:t>Impact: forecast slack is now two days; downstream validation cannot begin until the API contract is stable.</w:t>
      </w:r>
    </w:p>
    <w:p>
      <w:pPr>
        <w:pStyle w:val="ListBullet"/>
        <w:spacing w:after="80"/>
        <w:ind w:left="403" w:hanging="259"/>
      </w:pPr>
      <w:r>
        <w:t>Decision: confirm whether to de-scope delegated administration or fund a parallel contract-mock path by Thursday.</w:t>
      </w:r>
    </w:p>
    <w:p>
      <w:pPr>
        <w:pStyle w:val="ListBullet"/>
        <w:spacing w:after="80"/>
        <w:ind w:left="403" w:hanging="259"/>
      </w:pPr>
      <w:r>
        <w:t>Owner/action: Product Director to confirm scope; Platform EM to validate mock feasibility.</w:t>
      </w:r>
    </w:p>
    <w:p>
      <w:pPr>
        <w:pStyle w:val="ListBullet"/>
        <w:spacing w:after="80"/>
        <w:ind w:left="403" w:hanging="259"/>
      </w:pPr>
      <w:r>
        <w:t>Evidence: linked release plan passage, Jira epics, issue changelog, and dependency proposal.</w:t>
      </w:r>
    </w:p>
    <w:p>
      <w:r>
        <w:br w:type="page"/>
      </w:r>
    </w:p>
    <w:p>
      <w:pPr>
        <w:pStyle w:val="Title"/>
      </w:pPr>
      <w:r>
        <w:t>References</w:t>
      </w:r>
    </w:p>
    <w:p>
      <w:pPr>
        <w:ind w:left="403" w:hanging="403"/>
      </w:pPr>
      <w:r>
        <w:t xml:space="preserve">1. </w:t>
      </w:r>
      <w:hyperlink r:id="rId11">
        <w:r>
          <w:rPr>
            <w:color w:val="176B87"/>
            <w:u w:val="single"/>
          </w:rPr>
          <w:t>Schwaber, K., and Sutherland, J. The Scrum Guide (November 2020).</w:t>
        </w:r>
      </w:hyperlink>
    </w:p>
    <w:p>
      <w:pPr>
        <w:ind w:left="403" w:hanging="403"/>
      </w:pPr>
      <w:r>
        <w:t xml:space="preserve">2. </w:t>
      </w:r>
      <w:hyperlink r:id="rId12">
        <w:r>
          <w:rPr>
            <w:color w:val="176B87"/>
            <w:u w:val="single"/>
          </w:rPr>
          <w:t>Atlassian. Jira Cloud Platform REST API v3.</w:t>
        </w:r>
      </w:hyperlink>
    </w:p>
    <w:p>
      <w:pPr>
        <w:ind w:left="403" w:hanging="403"/>
      </w:pPr>
      <w:r>
        <w:t xml:space="preserve">3. </w:t>
      </w:r>
      <w:hyperlink r:id="rId13">
        <w:r>
          <w:rPr>
            <w:color w:val="176B87"/>
            <w:u w:val="single"/>
          </w:rPr>
          <w:t>Atlassian. Confluence Cloud REST API v2.</w:t>
        </w:r>
      </w:hyperlink>
    </w:p>
    <w:p>
      <w:pPr>
        <w:ind w:left="403" w:hanging="403"/>
      </w:pPr>
      <w:r>
        <w:t xml:space="preserve">4. </w:t>
      </w:r>
      <w:hyperlink r:id="rId14">
        <w:r>
          <w:rPr>
            <w:color w:val="176B87"/>
            <w:u w:val="single"/>
          </w:rPr>
          <w:t>Atlassian. Jira features: workflows, dependencies, dashboards, and AI.</w:t>
        </w:r>
      </w:hyperlink>
    </w:p>
    <w:p>
      <w:pPr>
        <w:ind w:left="403" w:hanging="403"/>
      </w:pPr>
      <w:r>
        <w:t xml:space="preserve">5. </w:t>
      </w:r>
      <w:hyperlink r:id="rId15">
        <w:r>
          <w:rPr>
            <w:color w:val="176B87"/>
            <w:u w:val="single"/>
          </w:rPr>
          <w:t>Atlassian. Jira Cloud Platform changelog.</w:t>
        </w:r>
      </w:hyperlink>
    </w:p>
    <w:p>
      <w:pPr>
        <w:pStyle w:val="Caption"/>
      </w:pPr>
      <w:r>
        <w:t>Note: Product metrics, scoring formulas, positioning, and roadmap in this paper are proposed design hypotheses. They require customer discovery, historical validation, security review, and controlled pilots before production use.</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F78"/>
        <w:sz w:val="16"/>
      </w:rPr>
      <w:t xml:space="preserve">CONFIDENTIAL CONCEPT PAPER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F6F78"/>
        <w:sz w:val="16"/>
      </w:rPr>
      <w:t>SCRUM HEALTH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color w:val="2131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176B8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val="0"/>
      <w:bCs/>
      <w:color w:val="5F6F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40"/>
    </w:pPr>
    <w:rPr>
      <w:rFonts w:ascii="Calibri" w:hAnsi="Calibri"/>
      <w:b/>
      <w:color w:val="2A9D8F"/>
      <w:sz w:val="20"/>
    </w:rPr>
  </w:style>
  <w:style w:type="paragraph" w:customStyle="1" w:styleId="Lead">
    <w:name w:val="Lead"/>
    <w:pPr>
      <w:spacing w:after="140"/>
    </w:pPr>
    <w:rPr>
      <w:rFonts w:ascii="Calibri" w:hAnsi="Calibri"/>
      <w:b w:val="0"/>
      <w:color w:val="17324D"/>
      <w:sz w:val="26"/>
    </w:rPr>
  </w:style>
  <w:style w:type="paragraph" w:customStyle="1" w:styleId="Callout">
    <w:name w:val="Callout"/>
    <w:pPr>
      <w:spacing w:after="140"/>
    </w:pPr>
    <w:rPr>
      <w:rFonts w:ascii="Calibri" w:hAnsi="Calibri"/>
      <w:b/>
      <w:color w:val="17324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rumguides.org/docs/scrumguide/v2020/2020-Scrum-Guide-US.pdf" TargetMode="External"/><Relationship Id="rId12" Type="http://schemas.openxmlformats.org/officeDocument/2006/relationships/hyperlink" Target="https://developer.atlassian.com/cloud/jira/platform/rest/v3/intro/" TargetMode="External"/><Relationship Id="rId13" Type="http://schemas.openxmlformats.org/officeDocument/2006/relationships/hyperlink" Target="https://developer.atlassian.com/cloud/confluence/rest/" TargetMode="External"/><Relationship Id="rId14" Type="http://schemas.openxmlformats.org/officeDocument/2006/relationships/hyperlink" Target="https://www.atlassian.com/software/jira/features" TargetMode="External"/><Relationship Id="rId15" Type="http://schemas.openxmlformats.org/officeDocument/2006/relationships/hyperlink" Target="https://developer.atlassian.com/cloud/jira/platform/change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Scrum Health Intelligence</dc:title>
  <dc:subject>AI-enabled product concept for delivery health, dependency risk, and executive reporting</dc:subject>
  <dc:creator>Shruthi Amruthnath</dc:creator>
  <cp:keywords>Scrum, AI, Jira, Confluence, delivery risk, dependencies, product analytics</cp:keywords>
  <dc:description>generated by python-docx</dc:description>
  <cp:lastModifiedBy/>
  <cp:revision>1</cp:revision>
  <dcterms:created xsi:type="dcterms:W3CDTF">2013-12-23T23:15:00Z</dcterms:created>
  <dcterms:modified xsi:type="dcterms:W3CDTF">2013-12-23T23:15:00Z</dcterms:modified>
  <cp:category/>
</cp:coreProperties>
</file>