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**Database Features and Enhancements**</w:t>
        <w:br/>
        <w:br/>
        <w:t>* **Multitenant Architecture:** Consolidates multiple databases into a single container database, enabling greater density and agility.</w:t>
        <w:br/>
        <w:t>* **Performance:** Introduces Automatic Indexing, Database In-Memory column store, and MemOptimized RowStore to enhance query and data optimization.</w:t>
        <w:br/>
        <w:t>* **High Availability:** Offers advanced features such as Data Guard Far Sync, Global Data Services, and Application Continuity to maximize database availability.</w:t>
        <w:br/>
        <w:t>* **Security:** Enhances data protection with features like Transparent Data Encryption, Dynamic Data Masking, and Database Vault Operations Control.</w:t>
        <w:br/>
        <w:t>* **Data Warehousing and Big Data:** Supports hybrid partitioned tables, fast SQL access for relational, Hadoop, and NoSQL data, and offers comprehensive analytic and data science capabilities.</w:t>
        <w:br/>
        <w:t>* **Application Development:** Integrates with popular application development frameworks, supports Oracle Application Express (APEX), and provides tools like Oracle SQL Developer and Oracle REST Data Services.</w:t>
        <w:br/>
        <w:br/>
        <w:t>**Additional Benefits**</w:t>
        <w:br/>
        <w:br/>
        <w:t>* **Autonomous Database Cloud:** Fully managed database service that eliminates manual administration and provides high performance, reliability, and security.</w:t>
        <w:br/>
        <w:t>* **Hybrid Cloud Support:** Enables deployment on-premises, in the cloud, or in hybrid configurations, with the same software running in both environments.</w:t>
        <w:br/>
        <w:t>* **Long Term Support:** Comes with 4 years of premium support and a minimum of 3 years of extended support.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