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blackbox-jobs-client-feedback-round-2"/>
    <w:p>
      <w:pPr>
        <w:pStyle w:val="Heading1"/>
      </w:pPr>
      <w:r>
        <w:t xml:space="preserve">Blackbox Jobs — Client Feedback, Round 2</w:t>
      </w:r>
    </w:p>
    <w:bookmarkStart w:id="20" w:name="X1d5b2fdcaf58d9027eec713c5aa2e988c401ad9"/>
    <w:p>
      <w:pPr>
        <w:pStyle w:val="Heading3"/>
      </w:pPr>
      <w:r>
        <w:t xml:space="preserve">Research &amp; Planning: ATS Integration and Email Notifications</w:t>
      </w:r>
    </w:p>
    <w:p>
      <w:pPr>
        <w:pStyle w:val="FirstParagraph"/>
      </w:pPr>
      <w:r>
        <w:rPr>
          <w:iCs/>
          <w:i/>
        </w:rPr>
        <w:t xml:space="preserve">Status: research and planning complete, nothing built yet — pending approval.</w:t>
      </w:r>
    </w:p>
    <w:p>
      <w:r>
        <w:pict>
          <v:rect style="width:0;height:1.5pt" o:hralign="center" o:hrstd="t" o:hr="t"/>
        </w:pict>
      </w:r>
    </w:p>
    <w:bookmarkEnd w:id="20"/>
    <w:bookmarkStart w:id="22" w:name="context"/>
    <w:p>
      <w:pPr>
        <w:pStyle w:val="Heading2"/>
      </w:pPr>
      <w:r>
        <w:t xml:space="preserve">Context</w:t>
      </w:r>
    </w:p>
    <w:p>
      <w:pPr>
        <w:pStyle w:val="FirstParagraph"/>
      </w:pPr>
      <w:r>
        <w:t xml:space="preserve">After Round 1 shipped (KYC verification, search-select profile fields, CV watermark, the 40-question assessment replacing the AI interview, nearest-first job matching, and candidate counts at job-posting time), the client described two further initiatives, framed around how large enterprises actually run hiring:</w:t>
      </w:r>
    </w:p>
    <w:p>
      <w:pPr>
        <w:numPr>
          <w:ilvl w:val="0"/>
          <w:numId w:val="1001"/>
        </w:numPr>
        <w:pStyle w:val="Compact"/>
      </w:pPr>
      <w:r>
        <w:rPr>
          <w:bCs/>
          <w:b/>
        </w:rPr>
        <w:t xml:space="preserve">ATS integration.</w:t>
      </w:r>
      <w:r>
        <w:t xml:space="preserve"> </w:t>
      </w:r>
      <w:r>
        <w:t xml:space="preserve">Big companies’ Talent Acquisition teams don’t manually log into job boards — they dump a requirement into their own internal ATS (Workday, SAP SuccessFactors, Greenhouse, etc.), which pushes it out to job boards and pulls candidate/application data back in. The ask: could Blackbox become one of those receiving/pushing endpoints, so a company’s existing ATS can push jobs in and pull candidates out, without their TA team ever touching Blackbox’s own posting UI?</w:t>
      </w:r>
    </w:p>
    <w:p>
      <w:pPr>
        <w:numPr>
          <w:ilvl w:val="0"/>
          <w:numId w:val="1001"/>
        </w:numPr>
        <w:pStyle w:val="Compact"/>
      </w:pPr>
      <w:r>
        <w:rPr>
          <w:bCs/>
          <w:b/>
        </w:rPr>
        <w:t xml:space="preserve">Email notifications.</w:t>
      </w:r>
      <w:r>
        <w:t xml:space="preserve"> </w:t>
      </w:r>
      <w:r>
        <w:t xml:space="preserve">When a job is posted, the job description should auto-email the posting HR user, that HR user’s manager, and the admin. When a candidate applies, a copy of their details should auto-email HR and admin.</w:t>
      </w:r>
    </w:p>
    <w:p>
      <w:pPr>
        <w:pStyle w:val="FirstParagraph"/>
      </w:pPr>
      <w:r>
        <w:t xml:space="preserve">The client asked for research, a feasibility verdict, and a recommended approach — not an implementation yet. Two research passes were run: external market research on ATS integration mechanics, and an internal audit of the current codebase for what already exists (notifications, org structure, email). Findings are synthesized below into what’s actually worth building, and in what order.</w:t>
      </w:r>
    </w:p>
    <w:bookmarkStart w:id="21" w:name="decisions-confirmed-with-the-client"/>
    <w:p>
      <w:pPr>
        <w:pStyle w:val="Heading3"/>
      </w:pPr>
      <w:r>
        <w:t xml:space="preserve">Decisions confirmed with the client</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Decision</w:t>
            </w:r>
          </w:p>
        </w:tc>
        <w:tc>
          <w:p>
            <w:pPr>
              <w:pStyle w:val="Compact"/>
              <w:jc w:val="left"/>
            </w:pPr>
            <w:r>
              <w:t xml:space="preserve">Choice</w:t>
            </w:r>
          </w:p>
        </w:tc>
      </w:tr>
      <w:tr>
        <w:tc>
          <w:p>
            <w:pPr>
              <w:pStyle w:val="Compact"/>
              <w:jc w:val="left"/>
            </w:pPr>
            <w:r>
              <w:t xml:space="preserve">Email delivery</w:t>
            </w:r>
          </w:p>
        </w:tc>
        <w:tc>
          <w:p>
            <w:pPr>
              <w:pStyle w:val="Compact"/>
              <w:jc w:val="left"/>
            </w:pPr>
            <w:r>
              <w:t xml:space="preserve">A real provider now, as long as it’s free — this is a real feature to demo, not a placeholder</w:t>
            </w:r>
          </w:p>
        </w:tc>
      </w:tr>
      <w:tr>
        <w:tc>
          <w:p>
            <w:pPr>
              <w:pStyle w:val="Compact"/>
              <w:jc w:val="left"/>
            </w:pPr>
            <w:r>
              <w:t xml:space="preserve">“</w:t>
            </w:r>
            <w:r>
              <w:t xml:space="preserve">HR’s manager</w:t>
            </w:r>
            <w:r>
              <w:t xml:space="preserve">”</w:t>
            </w:r>
          </w:p>
        </w:tc>
        <w:tc>
          <w:p>
            <w:pPr>
              <w:pStyle w:val="Compact"/>
              <w:jc w:val="left"/>
            </w:pPr>
            <w:r>
              <w:t xml:space="preserve">A simple optional manager-email field on the HR/employer user — no account required for the manager</w:t>
            </w:r>
          </w:p>
        </w:tc>
      </w:tr>
      <w:tr>
        <w:tc>
          <w:p>
            <w:pPr>
              <w:pStyle w:val="Compact"/>
              <w:jc w:val="left"/>
            </w:pPr>
            <w:r>
              <w:t xml:space="preserve">Admin recipient</w:t>
            </w:r>
          </w:p>
        </w:tc>
        <w:tc>
          <w:p>
            <w:pPr>
              <w:pStyle w:val="Compact"/>
              <w:jc w:val="left"/>
            </w:pPr>
            <w:r>
              <w:t xml:space="preserve">A single configured platform inbox, not every admin account individually</w:t>
            </w:r>
          </w:p>
        </w:tc>
      </w:tr>
      <w:tr>
        <w:tc>
          <w:p>
            <w:pPr>
              <w:pStyle w:val="Compact"/>
              <w:jc w:val="left"/>
            </w:pPr>
            <w:r>
              <w:t xml:space="preserve">ATS integration</w:t>
            </w:r>
          </w:p>
        </w:tc>
        <w:tc>
          <w:p>
            <w:pPr>
              <w:pStyle w:val="Compact"/>
              <w:jc w:val="left"/>
            </w:pPr>
            <w:r>
              <w:t xml:space="preserve">Whichever approach is free to develop against, starting now</w:t>
            </w:r>
          </w:p>
        </w:tc>
      </w:tr>
    </w:tbl>
    <w:p>
      <w:r>
        <w:pict>
          <v:rect style="width:0;height:1.5pt" o:hralign="center" o:hrstd="t" o:hr="t"/>
        </w:pict>
      </w:r>
    </w:p>
    <w:bookmarkEnd w:id="21"/>
    <w:bookmarkEnd w:id="22"/>
    <w:bookmarkStart w:id="26" w:name="initiative-1-ats-integration"/>
    <w:p>
      <w:pPr>
        <w:pStyle w:val="Heading2"/>
      </w:pPr>
      <w:r>
        <w:t xml:space="preserve">Initiative 1 — ATS Integration</w:t>
      </w:r>
    </w:p>
    <w:bookmarkStart w:id="23" w:name="verdict-yes-but-reframed"/>
    <w:p>
      <w:pPr>
        <w:pStyle w:val="Heading3"/>
      </w:pPr>
      <w:r>
        <w:t xml:space="preserve">Verdict: yes, but reframed</w:t>
      </w:r>
    </w:p>
    <w:p>
      <w:pPr>
        <w:pStyle w:val="FirstParagraph"/>
      </w:pPr>
      <w:r>
        <w:t xml:space="preserve">Every major ATS researched (Workday, SAP SuccessFactors, Oracle Taleo, iCIMS, Greenhouse, Lever, SmartRecruiters, BambooHR, Bullhorn, Naukri) has some API capable of doing what the client described. The blocker was never technical capability — it’s that becoming an officially</w:t>
      </w:r>
      <w:r>
        <w:t xml:space="preserve"> </w:t>
      </w:r>
      <w:r>
        <w:rPr>
          <w:bCs/>
          <w:b/>
        </w:rPr>
        <w:t xml:space="preserve">listed destination</w:t>
      </w:r>
      <w:r>
        <w:t xml:space="preserve"> </w:t>
      </w:r>
      <w:r>
        <w:t xml:space="preserve">any of their customers can pick (Greenhouse’s Partner Directory, SmartRecruiters Marketplace, Broadbean’s distribution network, etc.) requires a formal partner application, often a monthly review cycle, a signed agreement, and — for Oracle specifically — proof of 5 pre-existing paying customers before they’ll even schedule a technical call. That route is realistically months, and not free (expect a security/compliance questionnaire once candidate data is in scope). Indeed itself is sunsetting its old open XML feed in 2026 in favor of a similarly gated API.</w:t>
      </w:r>
    </w:p>
    <w:p>
      <w:pPr>
        <w:pStyle w:val="BodyText"/>
      </w:pPr>
      <w:r>
        <w:rPr>
          <w:bCs/>
          <w:b/>
        </w:rPr>
        <w:t xml:space="preserve">What is free and buildable now:</w:t>
      </w:r>
      <w:r>
        <w:t xml:space="preserve"> </w:t>
      </w:r>
      <w:r>
        <w:t xml:space="preserve">several vendors already let any individual customer generate their own API key today, self-serve, at no cost — Greenhouse (Job Board + Harvest API keys, generated by that company’s own Greenhouse admin), Lever (Postings/Data API key from a Super Admin), SmartRecruiters (Marketplace API token, auto-issued after first developer login), Bullhorn (documented public REST API). This doesn’t make Blackbox a listed destination for every company using that ATS — but it does mean: the moment one specific enterprise customer signs up with Blackbox and hands over their own Greenhouse API key, Blackbox can pull that company’s real jobs in and push real candidates back, with zero partner-approval wait. That’s the actual near-term unlock, and it’s genuinely free to build and test against (Greenhouse offers a free trial account).</w:t>
      </w:r>
    </w:p>
    <w:bookmarkEnd w:id="23"/>
    <w:bookmarkStart w:id="24" w:name="recommended-build-in-order"/>
    <w:p>
      <w:pPr>
        <w:pStyle w:val="Heading3"/>
      </w:pPr>
      <w:r>
        <w:t xml:space="preserve">Recommended build, in order</w:t>
      </w:r>
    </w:p>
    <w:p>
      <w:pPr>
        <w:numPr>
          <w:ilvl w:val="0"/>
          <w:numId w:val="1002"/>
        </w:numPr>
        <w:pStyle w:val="Compact"/>
      </w:pPr>
      <w:r>
        <w:rPr>
          <w:bCs/>
          <w:b/>
        </w:rPr>
        <w:t xml:space="preserve">Greenhouse adapter first</w:t>
      </w:r>
      <w:r>
        <w:t xml:space="preserve"> </w:t>
      </w:r>
      <w:r>
        <w:t xml:space="preserve">— most startup-friendly of the group. Covers:</w:t>
      </w:r>
    </w:p>
    <w:p>
      <w:pPr>
        <w:numPr>
          <w:ilvl w:val="1"/>
          <w:numId w:val="1003"/>
        </w:numPr>
        <w:pStyle w:val="Compact"/>
      </w:pPr>
      <w:r>
        <w:t xml:space="preserve">A normalized internal job/application schema, decoupled from Greenhouse’s exact fields, so a second adapter (Lever, next-most-friendly) doesn’t require redesigning anything.</w:t>
      </w:r>
    </w:p>
    <w:p>
      <w:pPr>
        <w:numPr>
          <w:ilvl w:val="1"/>
          <w:numId w:val="1003"/>
        </w:numPr>
        <w:pStyle w:val="Compact"/>
      </w:pPr>
      <w:r>
        <w:t xml:space="preserve">New fields on the Organization record to store which ATS provider is connected, its API key, and whether sync is turned on.</w:t>
      </w:r>
    </w:p>
    <w:p>
      <w:pPr>
        <w:numPr>
          <w:ilvl w:val="1"/>
          <w:numId w:val="1003"/>
        </w:numPr>
        <w:pStyle w:val="Compact"/>
      </w:pPr>
      <w:r>
        <w:t xml:space="preserve">Jobs pulled in get an external-ID marker so re-syncing never creates duplicates.</w:t>
      </w:r>
    </w:p>
    <w:p>
      <w:pPr>
        <w:numPr>
          <w:ilvl w:val="1"/>
          <w:numId w:val="1003"/>
        </w:numPr>
        <w:pStyle w:val="Compact"/>
      </w:pPr>
      <w:r>
        <w:t xml:space="preserve">A background sync job (same pattern as the existing job-matching worker) that polls the connected org’s Greenhouse account on an interval and creates/updates jobs through the exact same creation path a manually-posted job goes through — so every imported job still gets matched, notified, etc. automatically.</w:t>
      </w:r>
    </w:p>
    <w:p>
      <w:pPr>
        <w:numPr>
          <w:ilvl w:val="1"/>
          <w:numId w:val="1003"/>
        </w:numPr>
        <w:pStyle w:val="Compact"/>
      </w:pPr>
      <w:r>
        <w:t xml:space="preserve">Pushing Blackbox applications back into Greenhouse (the</w:t>
      </w:r>
      <w:r>
        <w:t xml:space="preserve"> </w:t>
      </w:r>
      <w:r>
        <w:t xml:space="preserve">“</w:t>
      </w:r>
      <w:r>
        <w:t xml:space="preserve">pull candidates out</w:t>
      </w:r>
      <w:r>
        <w:t xml:space="preserve">”</w:t>
      </w:r>
      <w:r>
        <w:t xml:space="preserve"> </w:t>
      </w:r>
      <w:r>
        <w:t xml:space="preserve">half) is a real second phase — it needs a different Greenhouse API key type, which may require a paid Greenhouse plan on the customer’s side (to be confirmed with a real trial account before committing build time).</w:t>
      </w:r>
    </w:p>
    <w:p>
      <w:pPr>
        <w:numPr>
          <w:ilvl w:val="0"/>
          <w:numId w:val="1002"/>
        </w:numPr>
        <w:pStyle w:val="Compact"/>
      </w:pPr>
      <w:r>
        <w:rPr>
          <w:bCs/>
          <w:b/>
        </w:rPr>
        <w:t xml:space="preserve">schema.org structured job data</w:t>
      </w:r>
      <w:r>
        <w:t xml:space="preserve"> </w:t>
      </w:r>
      <w:r>
        <w:t xml:space="preserve">on every public Blackbox job page — free, no partner gate required, a pure SEO/discoverability win, and can ship independently regardless of the ATS-connector timeline.</w:t>
      </w:r>
    </w:p>
    <w:p>
      <w:pPr>
        <w:numPr>
          <w:ilvl w:val="0"/>
          <w:numId w:val="1002"/>
        </w:numPr>
        <w:pStyle w:val="Compact"/>
      </w:pPr>
      <w:r>
        <w:rPr>
          <w:bCs/>
          <w:b/>
        </w:rPr>
        <w:t xml:space="preserve">Explicitly deferred, not part of this round:</w:t>
      </w:r>
      <w:r>
        <w:t xml:space="preserve"> </w:t>
      </w:r>
      <w:r>
        <w:t xml:space="preserve">Workday/SAP/Oracle direct integration (an enterprise sales relationship, not a dev task — Oracle literally requires 5 existing customers first), applying to become an official partner in Greenhouse’s/SmartRecruiters’/Broadbean’s marketplace (all real, all worth doing eventually, all multi-month and not free to start), Naukri integration (relevant in India but sales/subscription-gated, not a developer API at all).</w:t>
      </w:r>
    </w:p>
    <w:bookmarkEnd w:id="24"/>
    <w:bookmarkStart w:id="25" w:name="how-this-shows-up-on-the-dashboard"/>
    <w:p>
      <w:pPr>
        <w:pStyle w:val="Heading3"/>
      </w:pPr>
      <w:r>
        <w:t xml:space="preserve">How this shows up on the dashboard</w:t>
      </w:r>
    </w:p>
    <w:p>
      <w:pPr>
        <w:pStyle w:val="FirstParagraph"/>
      </w:pPr>
      <w:r>
        <w:t xml:space="preserve">This initiative needs a real, visible feature — not just something running invisibly in the background:</w:t>
      </w:r>
    </w:p>
    <w:p>
      <w:pPr>
        <w:numPr>
          <w:ilvl w:val="0"/>
          <w:numId w:val="1004"/>
        </w:numPr>
        <w:pStyle w:val="Compact"/>
      </w:pPr>
      <w:r>
        <w:t xml:space="preserve">A new</w:t>
      </w:r>
      <w:r>
        <w:t xml:space="preserve"> </w:t>
      </w:r>
      <w:r>
        <w:rPr>
          <w:bCs/>
          <w:b/>
        </w:rPr>
        <w:t xml:space="preserve">“</w:t>
      </w:r>
      <w:r>
        <w:rPr>
          <w:bCs/>
          <w:b/>
        </w:rPr>
        <w:t xml:space="preserve">Integrations</w:t>
      </w:r>
      <w:r>
        <w:rPr>
          <w:bCs/>
          <w:b/>
        </w:rPr>
        <w:t xml:space="preserve">”</w:t>
      </w:r>
      <w:r>
        <w:rPr>
          <w:bCs/>
          <w:b/>
        </w:rPr>
        <w:t xml:space="preserve"> </w:t>
      </w:r>
      <w:r>
        <w:rPr>
          <w:bCs/>
          <w:b/>
        </w:rPr>
        <w:t xml:space="preserve">section in employer settings</w:t>
      </w:r>
      <w:r>
        <w:t xml:space="preserve">, where an employer connects their Greenhouse account, toggles sync on or off, and sees status: last synced time, jobs imported, any errors. This is the only place an employer interacts with the connector directly.</w:t>
      </w:r>
    </w:p>
    <w:p>
      <w:pPr>
        <w:numPr>
          <w:ilvl w:val="0"/>
          <w:numId w:val="1004"/>
        </w:numPr>
        <w:pStyle w:val="Compact"/>
      </w:pPr>
      <w:r>
        <w:t xml:space="preserve">Jobs pulled in via sync carry a small</w:t>
      </w:r>
      <w:r>
        <w:t xml:space="preserve"> </w:t>
      </w:r>
      <w:r>
        <w:rPr>
          <w:bCs/>
          <w:b/>
        </w:rPr>
        <w:t xml:space="preserve">“</w:t>
      </w:r>
      <w:r>
        <w:rPr>
          <w:bCs/>
          <w:b/>
        </w:rPr>
        <w:t xml:space="preserve">Imported from Greenhouse</w:t>
      </w:r>
      <w:r>
        <w:rPr>
          <w:bCs/>
          <w:b/>
        </w:rPr>
        <w:t xml:space="preserve">”</w:t>
      </w:r>
      <w:r>
        <w:rPr>
          <w:bCs/>
          <w:b/>
        </w:rPr>
        <w:t xml:space="preserve"> </w:t>
      </w:r>
      <w:r>
        <w:rPr>
          <w:bCs/>
          <w:b/>
        </w:rPr>
        <w:t xml:space="preserve">badge</w:t>
      </w:r>
      <w:r>
        <w:t xml:space="preserve"> </w:t>
      </w:r>
      <w:r>
        <w:t xml:space="preserve">on the employer’s jobs list — makes the origin of every job visually obvious.</w:t>
      </w:r>
    </w:p>
    <w:p>
      <w:pPr>
        <w:numPr>
          <w:ilvl w:val="0"/>
          <w:numId w:val="1004"/>
        </w:numPr>
        <w:pStyle w:val="Compact"/>
      </w:pPr>
      <w:r>
        <w:t xml:space="preserve">The admin panel gets visibility into which organizations have sync enabled and its health, following the same rule every other feature on this platform already follows: new data has to be visible to admin.</w:t>
      </w:r>
    </w:p>
    <w:p>
      <w:pPr>
        <w:pStyle w:val="FirstParagraph"/>
      </w:pPr>
      <w:r>
        <w:rPr>
          <w:bCs/>
          <w:b/>
        </w:rPr>
        <w:t xml:space="preserve">How to demo this to the client:</w:t>
      </w:r>
      <w:r>
        <w:t xml:space="preserve"> </w:t>
      </w:r>
      <w:r>
        <w:t xml:space="preserve">create 2–3 dummy jobs in a free Greenhouse trial account, connect that account live inside Blackbox’s new Integrations settings, trigger a sync, and watch the jobs appear in the employer dashboard in real time with the</w:t>
      </w:r>
      <w:r>
        <w:t xml:space="preserve"> </w:t>
      </w:r>
      <w:r>
        <w:t xml:space="preserve">“</w:t>
      </w:r>
      <w:r>
        <w:t xml:space="preserve">Imported</w:t>
      </w:r>
      <w:r>
        <w:t xml:space="preserve">”</w:t>
      </w:r>
      <w:r>
        <w:t xml:space="preserve"> </w:t>
      </w:r>
      <w:r>
        <w:t xml:space="preserve">badge — then show matching running on them automatically, exactly like any manually-posted job. This is the most visually convincing demo of the two initiatives.</w:t>
      </w:r>
    </w:p>
    <w:p>
      <w:r>
        <w:pict>
          <v:rect style="width:0;height:1.5pt" o:hralign="center" o:hrstd="t" o:hr="t"/>
        </w:pict>
      </w:r>
    </w:p>
    <w:bookmarkEnd w:id="25"/>
    <w:bookmarkEnd w:id="26"/>
    <w:bookmarkStart w:id="31" w:name="initiative-2-email-notifications"/>
    <w:p>
      <w:pPr>
        <w:pStyle w:val="Heading2"/>
      </w:pPr>
      <w:r>
        <w:t xml:space="preserve">Initiative 2 — Email Notifications</w:t>
      </w:r>
    </w:p>
    <w:bookmarkStart w:id="27" w:name="verdict-fully-feasible-no-blockers"/>
    <w:p>
      <w:pPr>
        <w:pStyle w:val="Heading3"/>
      </w:pPr>
      <w:r>
        <w:t xml:space="preserve">Verdict: fully feasible, no blockers</w:t>
      </w:r>
    </w:p>
    <w:p>
      <w:pPr>
        <w:pStyle w:val="FirstParagraph"/>
      </w:pPr>
      <w:r>
        <w:t xml:space="preserve">Confirmed by the codebase audit: there is no outbound email of any kind today — the KYC feature’s verification codes are only logged to the server console, not actually emailed or texted. There’s also no</w:t>
      </w:r>
      <w:r>
        <w:t xml:space="preserve"> </w:t>
      </w:r>
      <w:r>
        <w:t xml:space="preserve">“</w:t>
      </w:r>
      <w:r>
        <w:t xml:space="preserve">manager</w:t>
      </w:r>
      <w:r>
        <w:t xml:space="preserve">”</w:t>
      </w:r>
      <w:r>
        <w:t xml:space="preserve"> </w:t>
      </w:r>
      <w:r>
        <w:t xml:space="preserve">concept anywhere in the current data model, and the existing in-app notification system (the bell icon) has never triggered an external email — it’s purely an in-app record.</w:t>
      </w:r>
    </w:p>
    <w:p>
      <w:pPr>
        <w:pStyle w:val="BodyText"/>
      </w:pPr>
      <w:r>
        <w:rPr>
          <w:bCs/>
          <w:b/>
        </w:rPr>
        <w:t xml:space="preserve">Provider: Resend</w:t>
      </w:r>
      <w:r>
        <w:t xml:space="preserve"> </w:t>
      </w:r>
      <w:r>
        <w:t xml:space="preserve">— a free tier (3,000 emails/month, 100/day) that requires no credit card to start, satisfying</w:t>
      </w:r>
      <w:r>
        <w:t xml:space="preserve"> </w:t>
      </w:r>
      <w:r>
        <w:t xml:space="preserve">“</w:t>
      </w:r>
      <w:r>
        <w:t xml:space="preserve">real provider, free of cost.</w:t>
      </w:r>
      <w:r>
        <w:t xml:space="preserve">”</w:t>
      </w:r>
      <w:r>
        <w:t xml:space="preserve"> </w:t>
      </w:r>
      <w:r>
        <w:t xml:space="preserve">Built the same way the KYC codes were: one small, swappable module, so switching providers later is a config change, not a rewrite.</w:t>
      </w:r>
    </w:p>
    <w:p>
      <w:pPr>
        <w:pStyle w:val="BodyText"/>
      </w:pPr>
      <w:r>
        <w:rPr>
          <w:bCs/>
          <w:b/>
        </w:rPr>
        <w:t xml:space="preserve">New data needed:</w:t>
      </w:r>
      <w:r>
        <w:t xml:space="preserve"> </w:t>
      </w:r>
      <w:r>
        <w:t xml:space="preserve">an optional</w:t>
      </w:r>
      <w:r>
        <w:t xml:space="preserve"> </w:t>
      </w:r>
      <w:r>
        <w:t xml:space="preserve">“</w:t>
      </w:r>
      <w:r>
        <w:t xml:space="preserve">manager’s email</w:t>
      </w:r>
      <w:r>
        <w:t xml:space="preserve">”</w:t>
      </w:r>
      <w:r>
        <w:t xml:space="preserve"> </w:t>
      </w:r>
      <w:r>
        <w:t xml:space="preserve">field on the HR/employer user’s own profile, and one configured platform inbox address for admin notifications.</w:t>
      </w:r>
    </w:p>
    <w:bookmarkEnd w:id="27"/>
    <w:bookmarkStart w:id="28" w:name="trigger-1-job-posted"/>
    <w:p>
      <w:pPr>
        <w:pStyle w:val="Heading3"/>
      </w:pPr>
      <w:r>
        <w:t xml:space="preserve">Trigger 1 — Job posted</w:t>
      </w:r>
    </w:p>
    <w:p>
      <w:pPr>
        <w:pStyle w:val="FirstParagraph"/>
      </w:pPr>
      <w:r>
        <w:t xml:space="preserve">The moment a job is saved, right alongside the existing step that queues it for candidate matching, a new notification is queued. It resolves the posting HR user’s email, their manager’s email (if they’ve set one), and the admin inbox, and sends a job-description summary to whichever of those three actually exist.</w:t>
      </w:r>
    </w:p>
    <w:bookmarkEnd w:id="28"/>
    <w:bookmarkStart w:id="29" w:name="trigger-2-application-submitted"/>
    <w:p>
      <w:pPr>
        <w:pStyle w:val="Heading3"/>
      </w:pPr>
      <w:r>
        <w:t xml:space="preserve">Trigger 2 — Application submitted</w:t>
      </w:r>
    </w:p>
    <w:p>
      <w:pPr>
        <w:pStyle w:val="FirstParagraph"/>
      </w:pPr>
      <w:r>
        <w:t xml:space="preserve">The moment a candidate’s application is created, a notification is queued that resolves the job’s posting HR user plus the admin inbox, and sends a summary of the candidate’s details — reusing the same candidate-detail view already built for employers, rather than building a new one.</w:t>
      </w:r>
    </w:p>
    <w:p>
      <w:pPr>
        <w:pStyle w:val="BodyText"/>
      </w:pPr>
      <w:r>
        <w:t xml:space="preserve">Both notifications are queued in the background, never sent inline during the request — the same reasoning already used for job matching: posting a job or applying to one shouldn’t slow down or fail because an email provider is briefly slow.</w:t>
      </w:r>
    </w:p>
    <w:bookmarkEnd w:id="29"/>
    <w:bookmarkStart w:id="30" w:name="how-this-shows-up-on-the-dashboard-1"/>
    <w:p>
      <w:pPr>
        <w:pStyle w:val="Heading3"/>
      </w:pPr>
      <w:r>
        <w:t xml:space="preserve">How this shows up on the dashboard</w:t>
      </w:r>
    </w:p>
    <w:p>
      <w:pPr>
        <w:pStyle w:val="FirstParagraph"/>
      </w:pPr>
      <w:r>
        <w:t xml:space="preserve">This one is almost entirely invisible by design — the feature</w:t>
      </w:r>
      <w:r>
        <w:t xml:space="preserve"> </w:t>
      </w:r>
      <w:r>
        <w:rPr>
          <w:iCs/>
          <w:i/>
        </w:rPr>
        <w:t xml:space="preserve">is</w:t>
      </w:r>
      <w:r>
        <w:t xml:space="preserve"> </w:t>
      </w:r>
      <w:r>
        <w:t xml:space="preserve">the email arriving in an inbox — with two small exceptions:</w:t>
      </w:r>
    </w:p>
    <w:p>
      <w:pPr>
        <w:numPr>
          <w:ilvl w:val="0"/>
          <w:numId w:val="1005"/>
        </w:numPr>
        <w:pStyle w:val="Compact"/>
      </w:pPr>
      <w:r>
        <w:t xml:space="preserve">The</w:t>
      </w:r>
      <w:r>
        <w:t xml:space="preserve"> </w:t>
      </w:r>
      <w:r>
        <w:rPr>
          <w:bCs/>
          <w:b/>
        </w:rPr>
        <w:t xml:space="preserve">manager’s-email field</w:t>
      </w:r>
      <w:r>
        <w:t xml:space="preserve"> </w:t>
      </w:r>
      <w:r>
        <w:t xml:space="preserve">in the HR/employer’s own profile settings — the one place this gets typed in.</w:t>
      </w:r>
    </w:p>
    <w:p>
      <w:pPr>
        <w:numPr>
          <w:ilvl w:val="0"/>
          <w:numId w:val="1005"/>
        </w:numPr>
        <w:pStyle w:val="Compact"/>
      </w:pPr>
      <w:r>
        <w:t xml:space="preserve">A</w:t>
      </w:r>
      <w:r>
        <w:t xml:space="preserve"> </w:t>
      </w:r>
      <w:r>
        <w:rPr>
          <w:bCs/>
          <w:b/>
        </w:rPr>
        <w:t xml:space="preserve">notification log on the admin panel</w:t>
      </w:r>
      <w:r>
        <w:t xml:space="preserve"> </w:t>
      </w:r>
      <w:r>
        <w:t xml:space="preserve">— not the email content itself, just a record of each send: type, recipients, success or failure, and when. Without this, a silently failed send (a bad address, a spam filter) would be invisible until the client noticed something never arrived.</w:t>
      </w:r>
    </w:p>
    <w:p>
      <w:pPr>
        <w:pStyle w:val="FirstParagraph"/>
      </w:pPr>
      <w:r>
        <w:rPr>
          <w:bCs/>
          <w:b/>
        </w:rPr>
        <w:t xml:space="preserve">How to demo this to the client:</w:t>
      </w:r>
      <w:r>
        <w:t xml:space="preserve"> </w:t>
      </w:r>
      <w:r>
        <w:t xml:space="preserve">live, in front of them — post a job from a test HR account with a manager’s email set, and watch the email actually land in the HR, manager, and admin inboxes within seconds. Then submit a test application and show the candidate-detail email arrive in HR and admin’s inboxes too. This is more convincing than any dashboard screenshot, since the email itself is the proof it works.</w:t>
      </w:r>
    </w:p>
    <w:p>
      <w:pPr>
        <w:pStyle w:val="BodyText"/>
      </w:pPr>
      <w:r>
        <w:rPr>
          <w:bCs/>
          <w:b/>
        </w:rPr>
        <w:t xml:space="preserve">Not required by the client’s ask, flagged only:</w:t>
      </w:r>
      <w:r>
        <w:t xml:space="preserve"> </w:t>
      </w:r>
      <w:r>
        <w:t xml:space="preserve">now that a free real provider is confirmed, the KYC verification codes could also be switched from console-logged to real email/SMS — the client only asked about job/application notifications, so this stays out of scope unless raised separately.</w:t>
      </w:r>
    </w:p>
    <w:p>
      <w:r>
        <w:pict>
          <v:rect style="width:0;height:1.5pt" o:hralign="center" o:hrstd="t" o:hr="t"/>
        </w:pict>
      </w:r>
    </w:p>
    <w:bookmarkEnd w:id="30"/>
    <w:bookmarkEnd w:id="31"/>
    <w:bookmarkStart w:id="32" w:name="verification-plan"/>
    <w:p>
      <w:pPr>
        <w:pStyle w:val="Heading2"/>
      </w:pPr>
      <w:r>
        <w:t xml:space="preserve">Verification Plan</w:t>
      </w:r>
    </w:p>
    <w:p>
      <w:pPr>
        <w:numPr>
          <w:ilvl w:val="0"/>
          <w:numId w:val="1006"/>
        </w:numPr>
        <w:pStyle w:val="Compact"/>
      </w:pPr>
      <w:r>
        <w:rPr>
          <w:bCs/>
          <w:b/>
        </w:rPr>
        <w:t xml:space="preserve">Email:</w:t>
      </w:r>
      <w:r>
        <w:t xml:space="preserve"> </w:t>
      </w:r>
      <w:r>
        <w:t xml:space="preserve">using a real Resend account, post a job as a test HR user with a manager’s email set, and confirm the HR, manager, and admin inboxes all receive a real email — and that the admin notification log shows all three sends as successful. Submit a test application and confirm HR and admin both receive the candidate-detail email, logged the same way.</w:t>
      </w:r>
    </w:p>
    <w:p>
      <w:pPr>
        <w:numPr>
          <w:ilvl w:val="0"/>
          <w:numId w:val="1006"/>
        </w:numPr>
        <w:pStyle w:val="Compact"/>
      </w:pPr>
      <w:r>
        <w:rPr>
          <w:bCs/>
          <w:b/>
        </w:rPr>
        <w:t xml:space="preserve">ATS:</w:t>
      </w:r>
      <w:r>
        <w:t xml:space="preserve"> </w:t>
      </w:r>
      <w:r>
        <w:t xml:space="preserve">create a free Greenhouse trial account as a stand-in customer, generate a Job Board API key, connect it through the new employer Integrations settings, and run the sync twice. Confirm real jobs appear with the</w:t>
      </w:r>
      <w:r>
        <w:t xml:space="preserve"> </w:t>
      </w:r>
      <w:r>
        <w:t xml:space="preserve">“</w:t>
      </w:r>
      <w:r>
        <w:t xml:space="preserve">Imported from Greenhouse</w:t>
      </w:r>
      <w:r>
        <w:t xml:space="preserve">”</w:t>
      </w:r>
      <w:r>
        <w:t xml:space="preserve"> </w:t>
      </w:r>
      <w:r>
        <w:t xml:space="preserve">badge, that matching runs on them exactly like a manually-posted job, that the second sync doesn’t create duplicates, and that the admin panel reflects the connected organization and its last-sync status.</w:t>
      </w:r>
    </w:p>
    <w:bookmarkEnd w:id="32"/>
    <w:bookmarkStart w:id="33" w:name="open-items-to-resolve-before-building"/>
    <w:p>
      <w:pPr>
        <w:pStyle w:val="Heading2"/>
      </w:pPr>
      <w:r>
        <w:t xml:space="preserve">Open Items to Resolve Before Building</w:t>
      </w:r>
    </w:p>
    <w:p>
      <w:pPr>
        <w:numPr>
          <w:ilvl w:val="0"/>
          <w:numId w:val="1007"/>
        </w:numPr>
        <w:pStyle w:val="Compact"/>
      </w:pPr>
      <w:r>
        <w:t xml:space="preserve">How the stored Greenhouse API key gets encrypted at rest, before any real customer credential is stored.</w:t>
      </w:r>
    </w:p>
    <w:p>
      <w:pPr>
        <w:numPr>
          <w:ilvl w:val="0"/>
          <w:numId w:val="1007"/>
        </w:numPr>
        <w:pStyle w:val="Compact"/>
      </w:pPr>
      <w:r>
        <w:t xml:space="preserve">Whether Greenhouse’s candidate-push-back capability requires a paid plan on the customer’s end — to be confirmed with a real trial account first.</w:t>
      </w:r>
    </w:p>
    <w:p>
      <w:r>
        <w:pict>
          <v:rect style="width:0;height:1.5pt" o:hralign="center" o:hrstd="t" o:hr="t"/>
        </w:pict>
      </w:r>
    </w:p>
    <w:p>
      <w:pPr>
        <w:pStyle w:val="FirstParagraph"/>
      </w:pPr>
      <w:r>
        <w:rPr>
          <w:iCs/>
          <w:i/>
        </w:rPr>
        <w:t xml:space="preserve">This document reflects planning only. No code has been written for either initiative — it is pending your review and approval before implementation begins.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2026-08-10T12:53:06Z</dcterms:created>
  <dcterms:modified xsi:type="dcterms:W3CDTF">2026-08-10T12:53:06Z</dcterms:modified>
</cp:coreProperties>
</file>

<file path=docProps/custom.xml><?xml version="1.0" encoding="utf-8"?>
<Properties xmlns="http://schemas.openxmlformats.org/officeDocument/2006/custom-properties" xmlns:vt="http://schemas.openxmlformats.org/officeDocument/2006/docPropsVTypes"/>
</file>