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Blackbox Jobs</w:t>
      </w:r>
    </w:p>
    <w:bookmarkStart w:id="27" w:name="X50ca2f775eeea5cab2dfee79f674983c96d4d15"/>
    <w:p>
      <w:pPr>
        <w:pStyle w:val="Heading1"/>
      </w:pPr>
      <w:r>
        <w:t xml:space="preserve">Integrating the Hiring Platform, the Employer Rankings Site, and the NGO Site</w:t>
      </w:r>
    </w:p>
    <w:bookmarkStart w:id="20" w:name="Xbd05a92ad2f1fb7b723a2ff77b0de0a386b3575"/>
    <w:p>
      <w:pPr>
        <w:pStyle w:val="Heading3"/>
      </w:pPr>
      <w:r>
        <w:t xml:space="preserve">Pros and cons of building one combined platform instead of separate sites</w:t>
      </w:r>
    </w:p>
    <w:tbl>
      <w:tblPr>
        <w:tblStyle w:val="Table"/>
        <w:tblW w:type="pct" w:w="5000.0"/>
        <w:tblLook w:firstRow="0" w:lastRow="0" w:firstColumn="0" w:lastColumn="0" w:noHBand="0" w:noVBand="0" w:val="0000"/>
      </w:tblPr>
      <w:tblGrid>
        <w:gridCol w:w="3960"/>
        <w:gridCol w:w="3960"/>
      </w:tblGrid>
      <w:tr>
        <w:tc>
          <w:p>
            <w:pPr>
              <w:pStyle w:val="Compact"/>
              <w:jc w:val="left"/>
            </w:pPr>
            <w:r>
              <w:t xml:space="preserve">Prepared for</w:t>
            </w:r>
          </w:p>
        </w:tc>
        <w:tc>
          <w:p>
            <w:pPr>
              <w:pStyle w:val="Compact"/>
              <w:jc w:val="left"/>
            </w:pPr>
            <w:r>
              <w:t xml:space="preserve">Client decision — original plan vs. combined-platform request</w:t>
            </w:r>
          </w:p>
        </w:tc>
      </w:tr>
      <w:tr>
        <w:tc>
          <w:p>
            <w:pPr>
              <w:pStyle w:val="Compact"/>
              <w:jc w:val="left"/>
            </w:pPr>
            <w:r>
              <w:t xml:space="preserve">Status</w:t>
            </w:r>
          </w:p>
        </w:tc>
        <w:tc>
          <w:p>
            <w:pPr>
              <w:pStyle w:val="Compact"/>
              <w:jc w:val="left"/>
            </w:pPr>
            <w:r>
              <w:t xml:space="preserve">Analysis only — no build decision made yet</w:t>
            </w:r>
          </w:p>
        </w:tc>
      </w:tr>
    </w:tbl>
    <w:p>
      <w:r>
        <w:pict>
          <v:rect style="width:0;height:1.5pt" o:hralign="center" o:hrstd="t" o:hr="t"/>
        </w:pict>
      </w:r>
    </w:p>
    <w:bookmarkEnd w:id="20"/>
    <w:bookmarkStart w:id="21" w:name="where-things-actually-stand-today"/>
    <w:p>
      <w:pPr>
        <w:pStyle w:val="Heading2"/>
      </w:pPr>
      <w:r>
        <w:t xml:space="preserve">1. Where things actually stand today</w:t>
      </w:r>
    </w:p>
    <w:p>
      <w:pPr>
        <w:pStyle w:val="FirstParagraph"/>
      </w:pPr>
      <w:r>
        <w:t xml:space="preserve">Before the tradeoffs, it’s worth being precise about what exists right now, since it changes how costly either direction is:</w:t>
      </w:r>
    </w:p>
    <w:p>
      <w:pPr>
        <w:numPr>
          <w:ilvl w:val="0"/>
          <w:numId w:val="1001"/>
        </w:numPr>
        <w:pStyle w:val="Compact"/>
      </w:pPr>
      <w:r>
        <w:rPr>
          <w:bCs/>
          <w:b/>
        </w:rPr>
        <w:t xml:space="preserve">The hiring platform</w:t>
      </w:r>
      <w:r>
        <w:t xml:space="preserve"> </w:t>
      </w:r>
      <w:r>
        <w:t xml:space="preserve">(</w:t>
      </w:r>
      <w:r>
        <w:rPr>
          <w:rStyle w:val="VerbatimChar"/>
        </w:rPr>
        <w:t xml:space="preserve">job-portal</w:t>
      </w:r>
      <w:r>
        <w:t xml:space="preserve">) is fully built and live — candidates, employers, admin, matching, everything covered in the two BRDs already prepared.</w:t>
      </w:r>
    </w:p>
    <w:p>
      <w:pPr>
        <w:numPr>
          <w:ilvl w:val="0"/>
          <w:numId w:val="1001"/>
        </w:numPr>
        <w:pStyle w:val="Compact"/>
      </w:pPr>
      <w:r>
        <w:rPr>
          <w:bCs/>
          <w:b/>
        </w:rPr>
        <w:t xml:space="preserve">The rankings site</w:t>
      </w:r>
      <w:r>
        <w:t xml:space="preserve"> </w:t>
      </w:r>
      <w:r>
        <w:t xml:space="preserve">(</w:t>
      </w:r>
      <w:r>
        <w:rPr>
          <w:rStyle w:val="VerbatimChar"/>
        </w:rPr>
        <w:t xml:space="preserve">rankings</w:t>
      </w:r>
      <w:r>
        <w:t xml:space="preserve">) exists in the monorepo but is currently an empty scaffold — no pages, no data fetching, nothing built beyond the initial setup. It’s already wired to</w:t>
      </w:r>
      <w:r>
        <w:t xml:space="preserve"> </w:t>
      </w:r>
      <w:r>
        <w:rPr>
          <w:iCs/>
          <w:i/>
        </w:rPr>
        <w:t xml:space="preserve">potentially</w:t>
      </w:r>
      <w:r>
        <w:t xml:space="preserve"> </w:t>
      </w:r>
      <w:r>
        <w:t xml:space="preserve">share the same database and design system as the hiring platform (both are listed as dependencies), but doesn’t use them yet.</w:t>
      </w:r>
    </w:p>
    <w:p>
      <w:pPr>
        <w:numPr>
          <w:ilvl w:val="0"/>
          <w:numId w:val="1001"/>
        </w:numPr>
        <w:pStyle w:val="Compact"/>
      </w:pPr>
      <w:r>
        <w:rPr>
          <w:bCs/>
          <w:b/>
        </w:rPr>
        <w:t xml:space="preserve">The database already contains a designed-but-unbuilt data model for exactly this purpose</w:t>
      </w:r>
      <w:r>
        <w:t xml:space="preserve">: an</w:t>
      </w:r>
      <w:r>
        <w:t xml:space="preserve"> </w:t>
      </w:r>
      <w:r>
        <w:rPr>
          <w:rStyle w:val="VerbatimChar"/>
        </w:rPr>
        <w:t xml:space="preserve">AccessibilityScore</w:t>
      </w:r>
      <w:r>
        <w:t xml:space="preserve"> </w:t>
      </w:r>
      <w:r>
        <w:t xml:space="preserve">per employer, generated from</w:t>
      </w:r>
      <w:r>
        <w:t xml:space="preserve"> </w:t>
      </w:r>
      <w:r>
        <w:rPr>
          <w:rStyle w:val="VerbatimChar"/>
        </w:rPr>
        <w:t xml:space="preserve">CrawlFinding</w:t>
      </w:r>
      <w:r>
        <w:t xml:space="preserve"> </w:t>
      </w:r>
      <w:r>
        <w:t xml:space="preserve">records (signals pulled from an employer’s public careers page/accessibility statement) via</w:t>
      </w:r>
      <w:r>
        <w:t xml:space="preserve"> </w:t>
      </w:r>
      <w:r>
        <w:rPr>
          <w:rStyle w:val="VerbatimChar"/>
        </w:rPr>
        <w:t xml:space="preserve">CrawlRun</w:t>
      </w:r>
      <w:r>
        <w:t xml:space="preserve">s. In other words, the schema for</w:t>
      </w:r>
      <w:r>
        <w:t xml:space="preserve"> </w:t>
      </w:r>
      <w:r>
        <w:t xml:space="preserve">“</w:t>
      </w:r>
      <w:r>
        <w:t xml:space="preserve">score and rank companies on disability-hiring practices</w:t>
      </w:r>
      <w:r>
        <w:t xml:space="preserve">”</w:t>
      </w:r>
      <w:r>
        <w:t xml:space="preserve"> </w:t>
      </w:r>
      <w:r>
        <w:t xml:space="preserve">was already planned as part of the same database the hiring platform uses — it was just never built out or connected to anything.</w:t>
      </w:r>
    </w:p>
    <w:p>
      <w:pPr>
        <w:numPr>
          <w:ilvl w:val="0"/>
          <w:numId w:val="1001"/>
        </w:numPr>
        <w:pStyle w:val="Compact"/>
      </w:pPr>
      <w:r>
        <w:rPr>
          <w:bCs/>
          <w:b/>
        </w:rPr>
        <w:t xml:space="preserve">The NGO site</w:t>
      </w:r>
      <w:r>
        <w:t xml:space="preserve"> </w:t>
      </w:r>
      <w:r>
        <w:t xml:space="preserve">is not scaffolded at all — just a placeholder note that it’s a deferred third product, with no defined purpose yet beyond</w:t>
      </w:r>
      <w:r>
        <w:t xml:space="preserve"> </w:t>
      </w:r>
      <w:r>
        <w:t xml:space="preserve">“</w:t>
      </w:r>
      <w:r>
        <w:t xml:space="preserve">part of the suite.</w:t>
      </w:r>
      <w:r>
        <w:t xml:space="preserve">”</w:t>
      </w:r>
    </w:p>
    <w:p>
      <w:pPr>
        <w:pStyle w:val="FirstParagraph"/>
      </w:pPr>
      <w:r>
        <w:t xml:space="preserve">The practical implication:</w:t>
      </w:r>
      <w:r>
        <w:t xml:space="preserve"> </w:t>
      </w:r>
      <w:r>
        <w:rPr>
          <w:bCs/>
          <w:b/>
        </w:rPr>
        <w:t xml:space="preserve">nothing has to be un-merged or migrated</w:t>
      </w:r>
      <w:r>
        <w:t xml:space="preserve">. Whichever direction is chosen, the rankings site and NGO site are being built from a near-blank slate right now, not retrofitted. This is the cheapest possible moment to make this call.</w:t>
      </w:r>
    </w:p>
    <w:bookmarkEnd w:id="21"/>
    <w:bookmarkStart w:id="22" w:name="Xa610bb1db1e79cd14a9fdd3ca470db4db15f685"/>
    <w:p>
      <w:pPr>
        <w:pStyle w:val="Heading2"/>
      </w:pPr>
      <w:r>
        <w:t xml:space="preserve">2.</w:t>
      </w:r>
      <w:r>
        <w:t xml:space="preserve"> </w:t>
      </w:r>
      <w:r>
        <w:t xml:space="preserve">“</w:t>
      </w:r>
      <w:r>
        <w:t xml:space="preserve">Integrate</w:t>
      </w:r>
      <w:r>
        <w:t xml:space="preserve">”</w:t>
      </w:r>
      <w:r>
        <w:t xml:space="preserve"> </w:t>
      </w:r>
      <w:r>
        <w:t xml:space="preserve">isn’t one decision — it’s a spectrum</w:t>
      </w:r>
    </w:p>
    <w:p>
      <w:pPr>
        <w:pStyle w:val="FirstParagraph"/>
      </w:pPr>
      <w:r>
        <w:t xml:space="preserve">The client’s ask (</w:t>
      </w:r>
      <w:r>
        <w:t xml:space="preserve">“</w:t>
      </w:r>
      <w:r>
        <w:t xml:space="preserve">integrate them all together</w:t>
      </w:r>
      <w:r>
        <w:t xml:space="preserve">”</w:t>
      </w:r>
      <w:r>
        <w:t xml:space="preserve">) could mean several genuinely different things, and the pros and cons differ by degree. It’s worth separating these explicitly:</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Option</w:t>
            </w:r>
          </w:p>
        </w:tc>
        <w:tc>
          <w:p>
            <w:pPr>
              <w:pStyle w:val="Compact"/>
              <w:jc w:val="left"/>
            </w:pPr>
            <w:r>
              <w:t xml:space="preserve">What it means</w:t>
            </w:r>
          </w:p>
        </w:tc>
      </w:tr>
      <w:tr>
        <w:tc>
          <w:p>
            <w:pPr>
              <w:pStyle w:val="Compact"/>
              <w:jc w:val="left"/>
            </w:pPr>
            <w:r>
              <w:rPr>
                <w:bCs/>
                <w:b/>
              </w:rPr>
              <w:t xml:space="preserve">A — Full merge</w:t>
            </w:r>
          </w:p>
        </w:tc>
        <w:tc>
          <w:p>
            <w:pPr>
              <w:pStyle w:val="Compact"/>
              <w:jc w:val="left"/>
            </w:pPr>
            <w:r>
              <w:t xml:space="preserve">One Next.js application, one domain, one login, one nav bar. Rankings and the NGO site become sections of blackboxjobs.com rather than products of their own.</w:t>
            </w:r>
          </w:p>
        </w:tc>
      </w:tr>
      <w:tr>
        <w:tc>
          <w:p>
            <w:pPr>
              <w:pStyle w:val="Compact"/>
              <w:jc w:val="left"/>
            </w:pPr>
            <w:r>
              <w:rPr>
                <w:bCs/>
                <w:b/>
              </w:rPr>
              <w:t xml:space="preserve">B — Shared backend, separate front doors</w:t>
            </w:r>
          </w:p>
        </w:tc>
        <w:tc>
          <w:p>
            <w:pPr>
              <w:pStyle w:val="Compact"/>
              <w:jc w:val="left"/>
            </w:pPr>
            <w:r>
              <w:t xml:space="preserve">Rankings and the NGO site remain their own deployed apps/domains, but read from the same database and reuse the same design system — already how the monorepo is set up today. Cross-linked, consistent branding, but not the same login or navigation.</w:t>
            </w:r>
          </w:p>
        </w:tc>
      </w:tr>
      <w:tr>
        <w:tc>
          <w:p>
            <w:pPr>
              <w:pStyle w:val="Compact"/>
              <w:jc w:val="left"/>
            </w:pPr>
            <w:r>
              <w:rPr>
                <w:bCs/>
                <w:b/>
              </w:rPr>
              <w:t xml:space="preserve">C — Fully separate</w:t>
            </w:r>
          </w:p>
        </w:tc>
        <w:tc>
          <w:p>
            <w:pPr>
              <w:pStyle w:val="Compact"/>
              <w:jc w:val="left"/>
            </w:pPr>
            <w:r>
              <w:t xml:space="preserve">The original plan: three independent products, independent data, independent releases, connected only by shared ownership.</w:t>
            </w:r>
          </w:p>
        </w:tc>
      </w:tr>
    </w:tbl>
    <w:p>
      <w:pPr>
        <w:pStyle w:val="BodyText"/>
      </w:pPr>
      <w:r>
        <w:t xml:space="preserve">The pros/cons below are written against</w:t>
      </w:r>
      <w:r>
        <w:t xml:space="preserve"> </w:t>
      </w:r>
      <w:r>
        <w:rPr>
          <w:bCs/>
          <w:b/>
        </w:rPr>
        <w:t xml:space="preserve">Option A</w:t>
      </w:r>
      <w:r>
        <w:t xml:space="preserve"> </w:t>
      </w:r>
      <w:r>
        <w:t xml:space="preserve">(what</w:t>
      </w:r>
      <w:r>
        <w:t xml:space="preserve"> </w:t>
      </w:r>
      <w:r>
        <w:t xml:space="preserve">“</w:t>
      </w:r>
      <w:r>
        <w:t xml:space="preserve">integrate them all together</w:t>
      </w:r>
      <w:r>
        <w:t xml:space="preserve">”</w:t>
      </w:r>
      <w:r>
        <w:t xml:space="preserve"> </w:t>
      </w:r>
      <w:r>
        <w:t xml:space="preserve">most naturally means) but Option B is flagged throughout as the recurring middle ground, since several of Option A’s cons disappear under Option B while most of its pros are kept.</w:t>
      </w:r>
    </w:p>
    <w:bookmarkEnd w:id="22"/>
    <w:bookmarkStart w:id="23" w:name="pros-of-full-integration-option-a"/>
    <w:p>
      <w:pPr>
        <w:pStyle w:val="Heading2"/>
      </w:pPr>
      <w:r>
        <w:t xml:space="preserve">3. Pros of full integration (Option A)</w:t>
      </w:r>
    </w:p>
    <w:p>
      <w:pPr>
        <w:numPr>
          <w:ilvl w:val="0"/>
          <w:numId w:val="1002"/>
        </w:numPr>
        <w:pStyle w:val="Compact"/>
      </w:pPr>
      <w:r>
        <w:rPr>
          <w:bCs/>
          <w:b/>
        </w:rPr>
        <w:t xml:space="preserve">The rankings data and the hiring data are already the same data.</w:t>
      </w:r>
      <w:r>
        <w:t xml:space="preserve"> </w:t>
      </w:r>
      <w:r>
        <w:t xml:space="preserve">A ranking of</w:t>
      </w:r>
      <w:r>
        <w:t xml:space="preserve"> </w:t>
      </w:r>
      <w:r>
        <w:t xml:space="preserve">“</w:t>
      </w:r>
      <w:r>
        <w:t xml:space="preserve">how well does this employer actually accommodate disability</w:t>
      </w:r>
      <w:r>
        <w:t xml:space="preserve">”</w:t>
      </w:r>
      <w:r>
        <w:t xml:space="preserve"> </w:t>
      </w:r>
      <w:r>
        <w:t xml:space="preserve">overlaps almost completely with things the hiring platform already tracks and displays —</w:t>
      </w:r>
      <w:r>
        <w:t xml:space="preserve"> </w:t>
      </w:r>
      <w:r>
        <w:rPr>
          <w:rStyle w:val="VerbatimChar"/>
        </w:rPr>
        <w:t xml:space="preserve">EmployerReview</w:t>
      </w:r>
      <w:r>
        <w:t xml:space="preserve"> </w:t>
      </w:r>
      <w:r>
        <w:t xml:space="preserve">(candidates rating whether accommodations were honored), the guaranteed-interview accountability mechanism, and the accommodation-fit gate. Building rankings as part of the same app means it can draw on real, already-collected platform data (real candidate reviews, real accommodation-gap history) instead of relying solely on crawled public statements — a stronger, harder-to-game methodology than a standalone site would have access to.</w:t>
      </w:r>
    </w:p>
    <w:p>
      <w:pPr>
        <w:numPr>
          <w:ilvl w:val="0"/>
          <w:numId w:val="1002"/>
        </w:numPr>
        <w:pStyle w:val="Compact"/>
      </w:pPr>
      <w:r>
        <w:rPr>
          <w:bCs/>
          <w:b/>
        </w:rPr>
        <w:t xml:space="preserve">The reinforcement effect is real and valuable.</w:t>
      </w:r>
      <w:r>
        <w:t xml:space="preserve"> </w:t>
      </w:r>
      <w:r>
        <w:t xml:space="preserve">A candidate browsing a job could see that employer’s public ranking right there in the listing. An employer considering signing up could see where they’d rank before committing. This turns rankings from a separate reference tool into an active, contextual trust signal inside the exact moment a decision is being made — which is a stronger product than either piece alone.</w:t>
      </w:r>
    </w:p>
    <w:p>
      <w:pPr>
        <w:numPr>
          <w:ilvl w:val="0"/>
          <w:numId w:val="1002"/>
        </w:numPr>
        <w:pStyle w:val="Compact"/>
      </w:pPr>
      <w:r>
        <w:rPr>
          <w:bCs/>
          <w:b/>
        </w:rPr>
        <w:t xml:space="preserve">No duplicate account system, no duplicate design system build-out.</w:t>
      </w:r>
      <w:r>
        <w:t xml:space="preserve"> </w:t>
      </w:r>
      <w:r>
        <w:t xml:space="preserve">One login, one component library, one deployment pipeline.</w:t>
      </w:r>
      <w:r>
        <w:t xml:space="preserve"> </w:t>
      </w:r>
      <w:r>
        <w:rPr>
          <w:rStyle w:val="VerbatimChar"/>
        </w:rPr>
        <w:t xml:space="preserve">packages/ui</w:t>
      </w:r>
      <w:r>
        <w:t xml:space="preserve"> </w:t>
      </w:r>
      <w:r>
        <w:t xml:space="preserve">and</w:t>
      </w:r>
      <w:r>
        <w:t xml:space="preserve"> </w:t>
      </w:r>
      <w:r>
        <w:rPr>
          <w:rStyle w:val="VerbatimChar"/>
        </w:rPr>
        <w:t xml:space="preserve">packages/db</w:t>
      </w:r>
      <w:r>
        <w:t xml:space="preserve"> </w:t>
      </w:r>
      <w:r>
        <w:t xml:space="preserve">are already shared infrastructure — a full merge just means finishing that wiring instead of also building a second (or third) independent front end.</w:t>
      </w:r>
    </w:p>
    <w:p>
      <w:pPr>
        <w:numPr>
          <w:ilvl w:val="0"/>
          <w:numId w:val="1002"/>
        </w:numPr>
        <w:pStyle w:val="Compact"/>
      </w:pPr>
      <w:r>
        <w:rPr>
          <w:bCs/>
          <w:b/>
        </w:rPr>
        <w:t xml:space="preserve">Single domain authority.</w:t>
      </w:r>
      <w:r>
        <w:t xml:space="preserve"> </w:t>
      </w:r>
      <w:r>
        <w:t xml:space="preserve">All traffic, backlinks, and SEO equity accumulate on one domain instead of splitting three ways — meaningfully faster to rank in search for terms like</w:t>
      </w:r>
      <w:r>
        <w:t xml:space="preserve"> </w:t>
      </w:r>
      <w:r>
        <w:t xml:space="preserve">“</w:t>
      </w:r>
      <w:r>
        <w:t xml:space="preserve">accessible employer rankings India</w:t>
      </w:r>
      <w:r>
        <w:t xml:space="preserve">”</w:t>
      </w:r>
      <w:r>
        <w:t xml:space="preserve"> </w:t>
      </w:r>
      <w:r>
        <w:t xml:space="preserve">if it’s not competing with a separate, newer domain for the same authority.</w:t>
      </w:r>
    </w:p>
    <w:p>
      <w:pPr>
        <w:numPr>
          <w:ilvl w:val="0"/>
          <w:numId w:val="1002"/>
        </w:numPr>
        <w:pStyle w:val="Compact"/>
      </w:pPr>
      <w:r>
        <w:rPr>
          <w:bCs/>
          <w:b/>
        </w:rPr>
        <w:t xml:space="preserve">Lower ongoing operational cost.</w:t>
      </w:r>
      <w:r>
        <w:t xml:space="preserve"> </w:t>
      </w:r>
      <w:r>
        <w:t xml:space="preserve">One codebase to maintain, one team’s context to hold, one incident-response surface, one hosting/monitoring bill — real savings for a small team, especially at this stage.</w:t>
      </w:r>
    </w:p>
    <w:p>
      <w:pPr>
        <w:numPr>
          <w:ilvl w:val="0"/>
          <w:numId w:val="1002"/>
        </w:numPr>
        <w:pStyle w:val="Compact"/>
      </w:pPr>
      <w:r>
        <w:rPr>
          <w:bCs/>
          <w:b/>
        </w:rPr>
        <w:t xml:space="preserve">Faster to actually ship.</w:t>
      </w:r>
      <w:r>
        <w:t xml:space="preserve"> </w:t>
      </w:r>
      <w:r>
        <w:t xml:space="preserve">Since the rankings schema already lives inside the same database, a merged build has meaningfully less new infrastructure to stand up than a fully separate product would.</w:t>
      </w:r>
    </w:p>
    <w:bookmarkEnd w:id="23"/>
    <w:bookmarkStart w:id="24" w:name="cons-of-full-integration-option-a"/>
    <w:p>
      <w:pPr>
        <w:pStyle w:val="Heading2"/>
      </w:pPr>
      <w:r>
        <w:t xml:space="preserve">4. Cons of full integration (Option A)</w:t>
      </w:r>
    </w:p>
    <w:p>
      <w:pPr>
        <w:numPr>
          <w:ilvl w:val="0"/>
          <w:numId w:val="1003"/>
        </w:numPr>
        <w:pStyle w:val="Compact"/>
      </w:pPr>
      <w:r>
        <w:rPr>
          <w:bCs/>
          <w:b/>
        </w:rPr>
        <w:t xml:space="preserve">Reputational conflict of interest is the biggest real risk.</w:t>
      </w:r>
      <w:r>
        <w:t xml:space="preserve"> </w:t>
      </w:r>
      <w:r>
        <w:t xml:space="preserve">A rankings/accountability site works because it’s perceived as neutral — the same reason Glassdoor’s value depends on not being owned by the companies it reviews. If Blackbox Jobs both sells job-posting access to employers</w:t>
      </w:r>
      <w:r>
        <w:t xml:space="preserve"> </w:t>
      </w:r>
      <w:r>
        <w:rPr>
          <w:iCs/>
          <w:i/>
        </w:rPr>
        <w:t xml:space="preserve">and</w:t>
      </w:r>
      <w:r>
        <w:t xml:space="preserve"> </w:t>
      </w:r>
      <w:r>
        <w:t xml:space="preserve">publicly ranks those same employers on accessibility, every low ranking becomes a commercial liability, and every high ranking becomes suspect (</w:t>
      </w:r>
      <w:r>
        <w:t xml:space="preserve">“</w:t>
      </w:r>
      <w:r>
        <w:t xml:space="preserve">did they pay to rank well?</w:t>
      </w:r>
      <w:r>
        <w:t xml:space="preserve">”</w:t>
      </w:r>
      <w:r>
        <w:t xml:space="preserve">). This tension doesn’t exist if rankings is even lightly separated — different domain, different brand voice — even while sharing the same underlying data.</w:t>
      </w:r>
    </w:p>
    <w:p>
      <w:pPr>
        <w:numPr>
          <w:ilvl w:val="0"/>
          <w:numId w:val="1003"/>
        </w:numPr>
        <w:pStyle w:val="Compact"/>
      </w:pPr>
      <w:r>
        <w:rPr>
          <w:bCs/>
          <w:b/>
        </w:rPr>
        <w:t xml:space="preserve">It changes who employers think they’re signing up with.</w:t>
      </w:r>
      <w:r>
        <w:t xml:space="preserve"> </w:t>
      </w:r>
      <w:r>
        <w:t xml:space="preserve">An employer currently joins Blackbox Jobs to post accessible jobs and get accountability tooling</w:t>
      </w:r>
      <w:r>
        <w:t xml:space="preserve"> </w:t>
      </w:r>
      <w:r>
        <w:rPr>
          <w:iCs/>
          <w:i/>
        </w:rPr>
        <w:t xml:space="preserve">for themselves</w:t>
      </w:r>
      <w:r>
        <w:t xml:space="preserve"> </w:t>
      </w:r>
      <w:r>
        <w:t xml:space="preserve">(the guaranteed-interview badge, accommodation gate) — tools that work</w:t>
      </w:r>
      <w:r>
        <w:t xml:space="preserve"> </w:t>
      </w:r>
      <w:r>
        <w:rPr>
          <w:iCs/>
          <w:i/>
        </w:rPr>
        <w:t xml:space="preserve">for</w:t>
      </w:r>
      <w:r>
        <w:t xml:space="preserve"> </w:t>
      </w:r>
      <w:r>
        <w:t xml:space="preserve">them. A public ranking tool is a tool that works</w:t>
      </w:r>
      <w:r>
        <w:t xml:space="preserve"> </w:t>
      </w:r>
      <w:r>
        <w:rPr>
          <w:iCs/>
          <w:i/>
        </w:rPr>
        <w:t xml:space="preserve">on</w:t>
      </w:r>
      <w:r>
        <w:t xml:space="preserve"> </w:t>
      </w:r>
      <w:r>
        <w:t xml:space="preserve">them. Merging both into one login and one brand risks employers feeling watched or judged by the same product they’re paying to use, which could suppress signups or honest self-reporting (e.g. the HR-training question, which is already explicitly self-reported and unverified).</w:t>
      </w:r>
    </w:p>
    <w:p>
      <w:pPr>
        <w:numPr>
          <w:ilvl w:val="0"/>
          <w:numId w:val="1003"/>
        </w:numPr>
        <w:pStyle w:val="Compact"/>
      </w:pPr>
      <w:r>
        <w:rPr>
          <w:bCs/>
          <w:b/>
        </w:rPr>
        <w:t xml:space="preserve">Different audiences, different expectations.</w:t>
      </w:r>
      <w:r>
        <w:t xml:space="preserve"> </w:t>
      </w:r>
      <w:r>
        <w:t xml:space="preserve">Rankings content (a public</w:t>
      </w:r>
      <w:r>
        <w:t xml:space="preserve"> </w:t>
      </w:r>
      <w:r>
        <w:t xml:space="preserve">“</w:t>
      </w:r>
      <w:r>
        <w:t xml:space="preserve">which companies actually hire and accommodate disabled employees</w:t>
      </w:r>
      <w:r>
        <w:t xml:space="preserve">”</w:t>
      </w:r>
      <w:r>
        <w:t xml:space="preserve"> </w:t>
      </w:r>
      <w:r>
        <w:t xml:space="preserve">resource) is exactly the kind of page journalists, policy researchers, NGOs, and job-seeking candidates who aren’t yet Blackbox users want to find, read, and share</w:t>
      </w:r>
      <w:r>
        <w:t xml:space="preserve"> </w:t>
      </w:r>
      <w:r>
        <w:rPr>
          <w:iCs/>
          <w:i/>
        </w:rPr>
        <w:t xml:space="preserve">without</w:t>
      </w:r>
      <w:r>
        <w:t xml:space="preserve"> </w:t>
      </w:r>
      <w:r>
        <w:t xml:space="preserve">creating an account or navigating a recruiting platform’s nav bar. Burying it inside job-portal’s authenticated, candidate/employer-oriented structure makes it harder to be the standalone, linkable, indexable public resource it needs to be to build its own authority and trust.</w:t>
      </w:r>
    </w:p>
    <w:p>
      <w:pPr>
        <w:numPr>
          <w:ilvl w:val="0"/>
          <w:numId w:val="1003"/>
        </w:numPr>
        <w:pStyle w:val="Compact"/>
      </w:pPr>
      <w:r>
        <w:rPr>
          <w:bCs/>
          <w:b/>
        </w:rPr>
        <w:t xml:space="preserve">The NGO site’s purpose isn’t defined yet.</w:t>
      </w:r>
      <w:r>
        <w:t xml:space="preserve"> </w:t>
      </w:r>
      <w:r>
        <w:t xml:space="preserve">Committing it to a merged architecture now — before its actual audience, content, and function are even scoped — risks building the wrong shape and having to unwind it later. It’s cheaper to decide this once the NGO site’s purpose is actually clear.</w:t>
      </w:r>
    </w:p>
    <w:p>
      <w:pPr>
        <w:numPr>
          <w:ilvl w:val="0"/>
          <w:numId w:val="1003"/>
        </w:numPr>
        <w:pStyle w:val="Compact"/>
      </w:pPr>
      <w:r>
        <w:rPr>
          <w:bCs/>
          <w:b/>
        </w:rPr>
        <w:t xml:space="preserve">Coupling makes future decisions harder, not easier.</w:t>
      </w:r>
      <w:r>
        <w:t xml:space="preserve"> </w:t>
      </w:r>
      <w:r>
        <w:t xml:space="preserve">If rankings ever becomes valuable enough to be its own thing — a media partnership, a licensing deal, a government or CSR-reporting integration, its own funding or sponsorship — untangling it from a merged codebase and shared login system is a much bigger project than launching it lightly separate from day one would have been. Integration is easy to add later; it’s hard to remove.</w:t>
      </w:r>
    </w:p>
    <w:p>
      <w:pPr>
        <w:numPr>
          <w:ilvl w:val="0"/>
          <w:numId w:val="1003"/>
        </w:numPr>
        <w:pStyle w:val="Compact"/>
      </w:pPr>
      <w:r>
        <w:rPr>
          <w:bCs/>
          <w:b/>
        </w:rPr>
        <w:t xml:space="preserve">Blast radius.</w:t>
      </w:r>
      <w:r>
        <w:t xml:space="preserve"> </w:t>
      </w:r>
      <w:r>
        <w:t xml:space="preserve">A bug, an outage, or a data issue in one product now affects the credibility of all three at once — a rankings-methodology controversy would reflect on the hiring platform too, and vice versa, even though today the two are natural allies.</w:t>
      </w:r>
    </w:p>
    <w:bookmarkEnd w:id="24"/>
    <w:bookmarkStart w:id="25" w:name="Xfb0f22cf765b0508612a4375ef05cfbd61dca85"/>
    <w:p>
      <w:pPr>
        <w:pStyle w:val="Heading2"/>
      </w:pPr>
      <w:r>
        <w:t xml:space="preserve">5. The middle ground worth strongly considering (Option B)</w:t>
      </w:r>
    </w:p>
    <w:p>
      <w:pPr>
        <w:pStyle w:val="FirstParagraph"/>
      </w:pPr>
      <w:r>
        <w:t xml:space="preserve">Given the above, the option that captures most of Section 3’s upside while avoiding most of Section 4’s risk is:</w:t>
      </w:r>
      <w:r>
        <w:t xml:space="preserve"> </w:t>
      </w:r>
      <w:r>
        <w:rPr>
          <w:bCs/>
          <w:b/>
        </w:rPr>
        <w:t xml:space="preserve">keep rankings and the NGO site as their own deployed apps and domains — as originally planned — but have them genuinely read from the same</w:t>
      </w:r>
      <w:r>
        <w:rPr>
          <w:bCs/>
          <w:b/>
        </w:rPr>
        <w:t xml:space="preserve"> </w:t>
      </w:r>
      <w:r>
        <w:rPr>
          <w:rStyle w:val="VerbatimChar"/>
          <w:bCs/>
          <w:b/>
        </w:rPr>
        <w:t xml:space="preserve">packages/db</w:t>
      </w:r>
      <w:r>
        <w:rPr>
          <w:bCs/>
          <w:b/>
        </w:rPr>
        <w:t xml:space="preserve"> </w:t>
      </w:r>
      <w:r>
        <w:rPr>
          <w:bCs/>
          <w:b/>
        </w:rPr>
        <w:t xml:space="preserve">database and reuse the same</w:t>
      </w:r>
      <w:r>
        <w:rPr>
          <w:bCs/>
          <w:b/>
        </w:rPr>
        <w:t xml:space="preserve"> </w:t>
      </w:r>
      <w:r>
        <w:rPr>
          <w:rStyle w:val="VerbatimChar"/>
          <w:bCs/>
          <w:b/>
        </w:rPr>
        <w:t xml:space="preserve">packages/ui</w:t>
      </w:r>
      <w:r>
        <w:rPr>
          <w:bCs/>
          <w:b/>
        </w:rPr>
        <w:t xml:space="preserve"> </w:t>
      </w:r>
      <w:r>
        <w:rPr>
          <w:bCs/>
          <w:b/>
        </w:rPr>
        <w:t xml:space="preserve">design system</w:t>
      </w:r>
      <w:r>
        <w:t xml:space="preserve">, rather than building each as a fully disconnected product.</w:t>
      </w:r>
    </w:p>
    <w:p>
      <w:pPr>
        <w:pStyle w:val="BodyText"/>
      </w:pPr>
      <w:r>
        <w:t xml:space="preserve">This is not a hypothetical — it’s already how the monorepo is set up (</w:t>
      </w:r>
      <w:r>
        <w:rPr>
          <w:rStyle w:val="VerbatimChar"/>
        </w:rPr>
        <w:t xml:space="preserve">rankings</w:t>
      </w:r>
      <w:r>
        <w:t xml:space="preserve"> </w:t>
      </w:r>
      <w:r>
        <w:t xml:space="preserve">already lists both</w:t>
      </w:r>
      <w:r>
        <w:t xml:space="preserve"> </w:t>
      </w:r>
      <w:r>
        <w:rPr>
          <w:rStyle w:val="VerbatimChar"/>
        </w:rPr>
        <w:t xml:space="preserve">@blackbox/db</w:t>
      </w:r>
      <w:r>
        <w:t xml:space="preserve"> </w:t>
      </w:r>
      <w:r>
        <w:t xml:space="preserve">and</w:t>
      </w:r>
      <w:r>
        <w:t xml:space="preserve"> </w:t>
      </w:r>
      <w:r>
        <w:rPr>
          <w:rStyle w:val="VerbatimChar"/>
        </w:rPr>
        <w:t xml:space="preserve">@blackbox/ui</w:t>
      </w:r>
      <w:r>
        <w:t xml:space="preserve"> </w:t>
      </w:r>
      <w:r>
        <w:t xml:space="preserve">as dependencies; it simply hasn’t started using them). Concretely, this would mean:</w:t>
      </w:r>
    </w:p>
    <w:p>
      <w:pPr>
        <w:numPr>
          <w:ilvl w:val="0"/>
          <w:numId w:val="1004"/>
        </w:numPr>
        <w:pStyle w:val="Compact"/>
      </w:pPr>
      <w:r>
        <w:t xml:space="preserve">Rankings queries the real</w:t>
      </w:r>
      <w:r>
        <w:t xml:space="preserve"> </w:t>
      </w:r>
      <w:r>
        <w:rPr>
          <w:rStyle w:val="VerbatimChar"/>
        </w:rPr>
        <w:t xml:space="preserve">Organization</w:t>
      </w:r>
      <w:r>
        <w:t xml:space="preserve">,</w:t>
      </w:r>
      <w:r>
        <w:t xml:space="preserve"> </w:t>
      </w:r>
      <w:r>
        <w:rPr>
          <w:rStyle w:val="VerbatimChar"/>
        </w:rPr>
        <w:t xml:space="preserve">EmployerReview</w:t>
      </w:r>
      <w:r>
        <w:t xml:space="preserve">, and</w:t>
      </w:r>
      <w:r>
        <w:t xml:space="preserve"> </w:t>
      </w:r>
      <w:r>
        <w:rPr>
          <w:rStyle w:val="VerbatimChar"/>
        </w:rPr>
        <w:t xml:space="preserve">AccessibilityScore</w:t>
      </w:r>
      <w:r>
        <w:t xml:space="preserve"> </w:t>
      </w:r>
      <w:r>
        <w:t xml:space="preserve">data live from the same database — no duplicate data entry, no sync pipeline, no staleness.</w:t>
      </w:r>
    </w:p>
    <w:p>
      <w:pPr>
        <w:numPr>
          <w:ilvl w:val="0"/>
          <w:numId w:val="1004"/>
        </w:numPr>
        <w:pStyle w:val="Compact"/>
      </w:pPr>
      <w:r>
        <w:t xml:space="preserve">Both products share the same visual identity (colors, type, components) so they read as one family even on separate domains — cross-linked in both directions (a job listing links to that employer’s ranking; a ranking page links to that employer’s open roles).</w:t>
      </w:r>
    </w:p>
    <w:p>
      <w:pPr>
        <w:numPr>
          <w:ilvl w:val="0"/>
          <w:numId w:val="1004"/>
        </w:numPr>
        <w:pStyle w:val="Compact"/>
      </w:pPr>
      <w:r>
        <w:t xml:space="preserve">Each keeps its own login (or no login at all, for rankings’ public content), its own domain, its own release cadence, and its own brand tone — preserving rankings’ credibility as an independent-feeling resource.</w:t>
      </w:r>
    </w:p>
    <w:p>
      <w:pPr>
        <w:numPr>
          <w:ilvl w:val="0"/>
          <w:numId w:val="1004"/>
        </w:numPr>
        <w:pStyle w:val="Compact"/>
      </w:pPr>
      <w:r>
        <w:t xml:space="preserve">If a business reason emerges later to merge further (e.g. a unified account system), that’s an additive change on top of an already-shared data layer, not a rebuild.</w:t>
      </w:r>
    </w:p>
    <w:bookmarkEnd w:id="25"/>
    <w:bookmarkStart w:id="26" w:name="Xce3d6118f3627280a2ef1189059d5e64732eac3"/>
    <w:p>
      <w:pPr>
        <w:pStyle w:val="Heading2"/>
      </w:pPr>
      <w:r>
        <w:t xml:space="preserve">6. Questions worth resolving with the client before deciding</w:t>
      </w:r>
    </w:p>
    <w:p>
      <w:pPr>
        <w:numPr>
          <w:ilvl w:val="0"/>
          <w:numId w:val="1005"/>
        </w:numPr>
        <w:pStyle w:val="Compact"/>
      </w:pPr>
      <w:r>
        <w:t xml:space="preserve">Which of the three options in Section 2 does</w:t>
      </w:r>
      <w:r>
        <w:t xml:space="preserve"> </w:t>
      </w:r>
      <w:r>
        <w:t xml:space="preserve">“</w:t>
      </w:r>
      <w:r>
        <w:t xml:space="preserve">integrate them all together</w:t>
      </w:r>
      <w:r>
        <w:t xml:space="preserve">”</w:t>
      </w:r>
      <w:r>
        <w:t xml:space="preserve"> </w:t>
      </w:r>
      <w:r>
        <w:t xml:space="preserve">actually mean to them — same login, same domain, same nav? Or just</w:t>
      </w:r>
      <w:r>
        <w:t xml:space="preserve"> </w:t>
      </w:r>
      <w:r>
        <w:t xml:space="preserve">“</w:t>
      </w:r>
      <w:r>
        <w:t xml:space="preserve">make sure they all feel connected and share data,</w:t>
      </w:r>
      <w:r>
        <w:t xml:space="preserve">”</w:t>
      </w:r>
      <w:r>
        <w:t xml:space="preserve"> </w:t>
      </w:r>
      <w:r>
        <w:t xml:space="preserve">which Option B already achieves?</w:t>
      </w:r>
    </w:p>
    <w:p>
      <w:pPr>
        <w:numPr>
          <w:ilvl w:val="0"/>
          <w:numId w:val="1005"/>
        </w:numPr>
        <w:pStyle w:val="Compact"/>
      </w:pPr>
      <w:r>
        <w:t xml:space="preserve">Is the rankings site meant to be perceived as an independent, neutral resource (like a watchdog or public directory), or explicitly as a Blackbox Jobs feature? This single question mostly decides between Option A and Option B.</w:t>
      </w:r>
    </w:p>
    <w:p>
      <w:pPr>
        <w:numPr>
          <w:ilvl w:val="0"/>
          <w:numId w:val="1005"/>
        </w:numPr>
        <w:pStyle w:val="Compact"/>
      </w:pPr>
      <w:r>
        <w:t xml:space="preserve">Does the client have a specific reason integration is now preferred over the original separate-sites plan (e.g. a cost concern, a timeline concern, a specific pitch/demo need) — knowing the</w:t>
      </w:r>
      <w:r>
        <w:t xml:space="preserve"> </w:t>
      </w:r>
      <w:r>
        <w:t xml:space="preserve">“</w:t>
      </w:r>
      <w:r>
        <w:t xml:space="preserve">why</w:t>
      </w:r>
      <w:r>
        <w:t xml:space="preserve">”</w:t>
      </w:r>
      <w:r>
        <w:t xml:space="preserve"> </w:t>
      </w:r>
      <w:r>
        <w:t xml:space="preserve">would sharpen which option actually solves it.</w:t>
      </w:r>
    </w:p>
    <w:p>
      <w:pPr>
        <w:numPr>
          <w:ilvl w:val="0"/>
          <w:numId w:val="1005"/>
        </w:numPr>
        <w:pStyle w:val="Compact"/>
      </w:pPr>
      <w:r>
        <w:t xml:space="preserve">What is the NGO site actually meant to do? Its scope is currently undefined, which makes it the riskiest of the three to commit to an integration decision for right now.</w:t>
      </w:r>
    </w:p>
    <w:p>
      <w:r>
        <w:pict>
          <v:rect style="width:0;height:1.5pt" o:hralign="center" o:hrstd="t" o:hr="t"/>
        </w:pict>
      </w:r>
    </w:p>
    <w:p>
      <w:pPr>
        <w:pStyle w:val="FirstParagraph"/>
      </w:pPr>
      <w:r>
        <w:rPr>
          <w:iCs/>
          <w:i/>
        </w:rPr>
        <w:t xml:space="preserve">This document is an analysis only. No architectural decision has been made or built as a result of it.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2026-08-10T19:01:32Z</dcterms:created>
  <dcterms:modified xsi:type="dcterms:W3CDTF">2026-08-10T19:01:32Z</dcterms:modified>
</cp:coreProperties>
</file>

<file path=docProps/custom.xml><?xml version="1.0" encoding="utf-8"?>
<Properties xmlns="http://schemas.openxmlformats.org/officeDocument/2006/custom-properties" xmlns:vt="http://schemas.openxmlformats.org/officeDocument/2006/docPropsVTypes"/>
</file>