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89B95">
      <w:pPr>
        <w:pStyle w:val="2"/>
      </w:pPr>
      <w:bookmarkStart w:id="0" w:name="Xa5755da3190ade62ca58b57c92913e579c3866d"/>
      <w:r>
        <w:t>Blackbox Jobs — Where These Two Features Actually Show Up</w:t>
      </w:r>
    </w:p>
    <w:p w14:paraId="05A364DA">
      <w:pPr>
        <w:pStyle w:val="5"/>
      </w:pPr>
      <w:bookmarkStart w:id="1" w:name="Xfcee47c94b0d04fbb169ae5a59cf22491cc9040"/>
      <w:r>
        <w:t>A walkthrough guide: frontend vs. backend, exact screen locations, and how to prove each one works live</w:t>
      </w:r>
    </w:p>
    <w:p w14:paraId="594B7BEE">
      <w:r>
        <w:pict>
          <v:rect id="_x0000_i1025" o:spt="1" style="height:1.5pt;width:0pt;" coordsize="21600,21600" o:hr="t" o:hrstd="t" o:hralign="center">
            <v:path/>
            <v:fill focussize="0,0"/>
            <v:stroke/>
            <v:imagedata o:title=""/>
            <o:lock v:ext="edit"/>
            <w10:wrap type="none"/>
            <w10:anchorlock/>
          </v:rect>
        </w:pict>
      </w:r>
    </w:p>
    <w:bookmarkEnd w:id="1"/>
    <w:p w14:paraId="23894B40">
      <w:pPr>
        <w:pStyle w:val="4"/>
      </w:pPr>
      <w:bookmarkStart w:id="2" w:name="quick-answer"/>
      <w:r>
        <w:t>Quick answer</w:t>
      </w:r>
    </w:p>
    <w:tbl>
      <w:tblPr>
        <w:tblStyle w:val="28"/>
        <w:tblW w:w="5000" w:type="pct"/>
        <w:tblInd w:w="0" w:type="dxa"/>
        <w:tblLayout w:type="autofit"/>
        <w:tblCellMar>
          <w:top w:w="0" w:type="dxa"/>
          <w:left w:w="108" w:type="dxa"/>
          <w:bottom w:w="0" w:type="dxa"/>
          <w:right w:w="108" w:type="dxa"/>
        </w:tblCellMar>
      </w:tblPr>
      <w:tblGrid>
        <w:gridCol w:w="1573"/>
        <w:gridCol w:w="2114"/>
        <w:gridCol w:w="2725"/>
        <w:gridCol w:w="2444"/>
      </w:tblGrid>
      <w:tr w14:paraId="0AC15FF2">
        <w:tc>
          <w:p w14:paraId="2830261B"/>
        </w:tc>
        <w:tc>
          <w:p w14:paraId="46BBDBC2">
            <w:pPr>
              <w:pStyle w:val="24"/>
              <w:jc w:val="left"/>
            </w:pPr>
            <w:r>
              <w:t>Frontend or backend?</w:t>
            </w:r>
          </w:p>
        </w:tc>
        <w:tc>
          <w:p w14:paraId="208CE907">
            <w:pPr>
              <w:pStyle w:val="24"/>
              <w:jc w:val="left"/>
            </w:pPr>
            <w:r>
              <w:t>Where it lives</w:t>
            </w:r>
          </w:p>
        </w:tc>
        <w:tc>
          <w:p w14:paraId="2CDCB963">
            <w:pPr>
              <w:pStyle w:val="24"/>
              <w:jc w:val="left"/>
            </w:pPr>
            <w:r>
              <w:t>How the client sees it</w:t>
            </w:r>
          </w:p>
        </w:tc>
      </w:tr>
      <w:tr w14:paraId="6EAC953D">
        <w:tc>
          <w:p w14:paraId="57577194">
            <w:pPr>
              <w:pStyle w:val="24"/>
              <w:jc w:val="left"/>
            </w:pPr>
            <w:r>
              <w:rPr>
                <w:b/>
                <w:bCs/>
              </w:rPr>
              <w:t>Email notifications</w:t>
            </w:r>
          </w:p>
        </w:tc>
        <w:tc>
          <w:p w14:paraId="798C7814">
            <w:pPr>
              <w:pStyle w:val="24"/>
              <w:jc w:val="left"/>
            </w:pPr>
            <w:r>
              <w:t>Almost entirely backend. One small settings field is the only thing anyone clicks.</w:t>
            </w:r>
          </w:p>
        </w:tc>
        <w:tc>
          <w:p w14:paraId="6EA48520">
            <w:pPr>
              <w:pStyle w:val="24"/>
              <w:jc w:val="left"/>
            </w:pPr>
            <w:r>
              <w:t>Employer → Settings (one new field). Everything else happens in real inboxes, not in the dashboard.</w:t>
            </w:r>
          </w:p>
        </w:tc>
        <w:tc>
          <w:p w14:paraId="3F449E2B">
            <w:pPr>
              <w:pStyle w:val="24"/>
              <w:jc w:val="left"/>
            </w:pPr>
            <w:r>
              <w:t>You show them the email arriving, live, in an actual inbox — not a dashboard screen.</w:t>
            </w:r>
          </w:p>
        </w:tc>
      </w:tr>
      <w:tr w14:paraId="3254AF9F">
        <w:tc>
          <w:p w14:paraId="2A505765">
            <w:pPr>
              <w:pStyle w:val="24"/>
              <w:jc w:val="left"/>
            </w:pPr>
            <w:r>
              <w:rPr>
                <w:b/>
                <w:bCs/>
              </w:rPr>
              <w:t>ATS integration</w:t>
            </w:r>
          </w:p>
        </w:tc>
        <w:tc>
          <w:p w14:paraId="563C0005">
            <w:pPr>
              <w:pStyle w:val="24"/>
              <w:jc w:val="left"/>
            </w:pPr>
            <w:r>
              <w:t>A real, visible dashboard feature.</w:t>
            </w:r>
          </w:p>
        </w:tc>
        <w:tc>
          <w:p w14:paraId="148C9316">
            <w:pPr>
              <w:pStyle w:val="24"/>
              <w:jc w:val="left"/>
            </w:pPr>
            <w:r>
              <w:t>Employer → Settings → new “</w:t>
            </w:r>
            <w:r>
              <w:rPr>
                <w:lang w:val="en-US"/>
              </w:rPr>
              <w:t>Integration's</w:t>
            </w:r>
            <w:r>
              <w:t>” tab, plus a badge on the Jobs list.</w:t>
            </w:r>
          </w:p>
        </w:tc>
        <w:tc>
          <w:p w14:paraId="0D5095F9">
            <w:pPr>
              <w:pStyle w:val="24"/>
              <w:jc w:val="left"/>
            </w:pPr>
            <w:r>
              <w:t>You show them connecting an account and watching jobs appear in the dashboard by themselves.</w:t>
            </w:r>
          </w:p>
        </w:tc>
      </w:tr>
    </w:tbl>
    <w:p w14:paraId="3EDC86FF">
      <w:pPr>
        <w:pStyle w:val="3"/>
      </w:pPr>
      <w:r>
        <w:t xml:space="preserve">These two features are opposite in nature. Email notifications is proven by something happening </w:t>
      </w:r>
      <w:r>
        <w:rPr>
          <w:i/>
          <w:iCs/>
        </w:rPr>
        <w:t>outside</w:t>
      </w:r>
      <w:r>
        <w:t xml:space="preserve"> Blackbox (an inbox). ATS integration is proven by something happening </w:t>
      </w:r>
      <w:r>
        <w:rPr>
          <w:i/>
          <w:iCs/>
        </w:rPr>
        <w:t>inside</w:t>
      </w:r>
      <w:r>
        <w:t xml:space="preserve"> Blackbox (jobs showing up in the dashboard without anyone typing them in). Below is exactly where to point the client for each.</w:t>
      </w:r>
    </w:p>
    <w:p w14:paraId="4379F6BF">
      <w:r>
        <w:pict>
          <v:rect id="_x0000_i1026" o:spt="1" style="height:1.5pt;width:0pt;" coordsize="21600,21600" o:hr="t" o:hrstd="t" o:hralign="center">
            <v:path/>
            <v:fill focussize="0,0"/>
            <v:stroke/>
            <v:imagedata o:title=""/>
            <o:lock v:ext="edit"/>
            <w10:wrap type="none"/>
            <w10:anchorlock/>
          </v:rect>
        </w:pict>
      </w:r>
    </w:p>
    <w:bookmarkEnd w:id="2"/>
    <w:p w14:paraId="69C140CB">
      <w:pPr>
        <w:pStyle w:val="4"/>
      </w:pPr>
      <w:bookmarkStart w:id="3" w:name="feature-1-email-notifications"/>
      <w:r>
        <w:t>Feature 1: Email Notifications</w:t>
      </w:r>
      <w:bookmarkStart w:id="14" w:name="_GoBack"/>
      <w:bookmarkEnd w:id="14"/>
    </w:p>
    <w:p w14:paraId="0E3B6216">
      <w:pPr>
        <w:pStyle w:val="5"/>
      </w:pPr>
      <w:bookmarkStart w:id="4" w:name="where-it-lives-in-the-dashboard"/>
      <w:r>
        <w:t>Where it lives in the dashboard</w:t>
      </w:r>
    </w:p>
    <w:p w14:paraId="1D9BEE5D">
      <w:pPr>
        <w:pStyle w:val="23"/>
      </w:pPr>
      <w:r>
        <w:t>There is no “Notifications” page for an employer to visit — the feature has almost no dashboard footprint on purpose, because the deliverable is the email itself, not a screen.</w:t>
      </w:r>
    </w:p>
    <w:p w14:paraId="7D171854">
      <w:pPr>
        <w:pStyle w:val="3"/>
      </w:pPr>
      <w:r>
        <w:t>The only place anything gets clicked or typed:</w:t>
      </w:r>
    </w:p>
    <w:p w14:paraId="0A287C4A">
      <w:pPr>
        <w:pStyle w:val="24"/>
        <w:numPr>
          <w:ilvl w:val="0"/>
          <w:numId w:val="1"/>
        </w:numPr>
      </w:pPr>
      <w:r>
        <w:rPr>
          <w:b/>
          <w:bCs/>
        </w:rPr>
        <w:t>Employer → Settings/Profile page</w:t>
      </w:r>
      <w:r>
        <w:t xml:space="preserve"> (the existing page where an HR user manages their own account) gains one new field: </w:t>
      </w:r>
      <w:r>
        <w:rPr>
          <w:b/>
          <w:bCs/>
        </w:rPr>
        <w:t>“Manager’s email (optional)”</w:t>
      </w:r>
      <w:r>
        <w:t>. This is where the client sets who their JD notifications should also go to. Everything downstream of this is automatic.</w:t>
      </w:r>
    </w:p>
    <w:p w14:paraId="00E82680">
      <w:pPr>
        <w:pStyle w:val="23"/>
      </w:pPr>
      <w:r>
        <w:t>One new page exists purely for oversight, not for the employer:</w:t>
      </w:r>
    </w:p>
    <w:p w14:paraId="66414A14">
      <w:pPr>
        <w:pStyle w:val="24"/>
        <w:numPr>
          <w:ilvl w:val="0"/>
          <w:numId w:val="1"/>
        </w:numPr>
      </w:pPr>
      <w:r>
        <w:rPr>
          <w:b/>
          <w:bCs/>
        </w:rPr>
        <w:t>Admin → Notification Log</w:t>
      </w:r>
      <w:r>
        <w:t xml:space="preserve"> (new page). A simple table: which notification was sent, to whom, whether it succeeded, and when. This exists so admin can confirm delivery without having to check someone else’s inbox — it does </w:t>
      </w:r>
      <w:r>
        <w:rPr>
          <w:b/>
          <w:bCs/>
        </w:rPr>
        <w:t>not</w:t>
      </w:r>
      <w:r>
        <w:t xml:space="preserve"> show the email content itself, just the record that it was sent.</w:t>
      </w:r>
    </w:p>
    <w:bookmarkEnd w:id="4"/>
    <w:p w14:paraId="1067697C">
      <w:pPr>
        <w:pStyle w:val="5"/>
      </w:pPr>
      <w:bookmarkStart w:id="5" w:name="what-to-tell-the-client-in-their-words"/>
      <w:r>
        <w:t>What to tell the client, in their words</w:t>
      </w:r>
    </w:p>
    <w:p w14:paraId="29010AE9">
      <w:pPr>
        <w:pStyle w:val="23"/>
      </w:pPr>
      <w:r>
        <w:rPr>
          <w:i/>
          <w:iCs/>
        </w:rPr>
        <w:t>“When you post a job, you and your manager automatically get an email with the job description the moment it goes live — no separate step, nothing to remember. When a candidate applies, you get a copy of their details by email too, so you don’t have to log back in just to see who applied. There’s one field in your settings where you tell us your manager’s email once, and that’s the only setup involved.”</w:t>
      </w:r>
    </w:p>
    <w:bookmarkEnd w:id="5"/>
    <w:p w14:paraId="3699973B">
      <w:pPr>
        <w:pStyle w:val="5"/>
      </w:pPr>
      <w:bookmarkStart w:id="6" w:name="how-to-demo-it-live"/>
      <w:r>
        <w:t>How to demo it live</w:t>
      </w:r>
    </w:p>
    <w:p w14:paraId="7B7A68AF">
      <w:pPr>
        <w:pStyle w:val="24"/>
        <w:numPr>
          <w:ilvl w:val="0"/>
          <w:numId w:val="2"/>
        </w:numPr>
      </w:pPr>
      <w:r>
        <w:t xml:space="preserve">Log into a test employer/HR account → open </w:t>
      </w:r>
      <w:r>
        <w:rPr>
          <w:b/>
          <w:bCs/>
        </w:rPr>
        <w:t>Settings</w:t>
      </w:r>
      <w:r>
        <w:t xml:space="preserve"> → show the </w:t>
      </w:r>
      <w:r>
        <w:rPr>
          <w:b/>
          <w:bCs/>
        </w:rPr>
        <w:t>Manager’s email</w:t>
      </w:r>
      <w:r>
        <w:t xml:space="preserve"> field, fill it in, save.</w:t>
      </w:r>
    </w:p>
    <w:p w14:paraId="03CFA50E">
      <w:pPr>
        <w:pStyle w:val="24"/>
        <w:numPr>
          <w:ilvl w:val="0"/>
          <w:numId w:val="2"/>
        </w:numPr>
      </w:pPr>
      <w:r>
        <w:t xml:space="preserve">Go to </w:t>
      </w:r>
      <w:r>
        <w:rPr>
          <w:b/>
          <w:bCs/>
        </w:rPr>
        <w:t>Post a Job</w:t>
      </w:r>
      <w:r>
        <w:t>, publish a real test job.</w:t>
      </w:r>
    </w:p>
    <w:p w14:paraId="4BEA2834">
      <w:pPr>
        <w:pStyle w:val="24"/>
        <w:numPr>
          <w:ilvl w:val="0"/>
          <w:numId w:val="2"/>
        </w:numPr>
      </w:pPr>
      <w:r>
        <w:t>Have the HR inbox, the manager’s inbox, and the admin inbox all visible (screen-share, or side-by-side tabs) — the JD email lands in all three within seconds.</w:t>
      </w:r>
    </w:p>
    <w:p w14:paraId="242BC136">
      <w:pPr>
        <w:pStyle w:val="24"/>
        <w:numPr>
          <w:ilvl w:val="0"/>
          <w:numId w:val="2"/>
        </w:numPr>
      </w:pPr>
      <w:r>
        <w:t>Log into a test candidate account → apply to that job.</w:t>
      </w:r>
    </w:p>
    <w:p w14:paraId="1E2F29D6">
      <w:pPr>
        <w:pStyle w:val="24"/>
        <w:numPr>
          <w:ilvl w:val="0"/>
          <w:numId w:val="2"/>
        </w:numPr>
      </w:pPr>
      <w:r>
        <w:t>Show the HR and admin inboxes receiving the candidate-details email.</w:t>
      </w:r>
    </w:p>
    <w:p w14:paraId="322CB50B">
      <w:pPr>
        <w:pStyle w:val="24"/>
        <w:numPr>
          <w:ilvl w:val="0"/>
          <w:numId w:val="2"/>
        </w:numPr>
      </w:pPr>
      <w:r>
        <w:t xml:space="preserve">Open </w:t>
      </w:r>
      <w:r>
        <w:rPr>
          <w:b/>
          <w:bCs/>
        </w:rPr>
        <w:t>Admin → Notification Log</w:t>
      </w:r>
      <w:r>
        <w:t xml:space="preserve"> and show both sends logged as delivered — this is the “proof it’s not just luck” moment, since it’s a permanent record, not something that has to be caught live.</w:t>
      </w:r>
    </w:p>
    <w:bookmarkEnd w:id="6"/>
    <w:p w14:paraId="3B7C32BF">
      <w:pPr>
        <w:pStyle w:val="5"/>
      </w:pPr>
      <w:bookmarkStart w:id="7" w:name="Xc5c89d70379fc388956f69f0b816ce382028750"/>
      <w:r>
        <w:t>How you’ll know it’s actually working (not just demo-working)</w:t>
      </w:r>
    </w:p>
    <w:p w14:paraId="794DBA29">
      <w:pPr>
        <w:pStyle w:val="24"/>
        <w:numPr>
          <w:ilvl w:val="0"/>
          <w:numId w:val="1"/>
        </w:numPr>
      </w:pPr>
      <w:r>
        <w:t>The email genuinely lands in a real inbox — not a console log, not a toast message.</w:t>
      </w:r>
    </w:p>
    <w:p w14:paraId="759F6B1F">
      <w:pPr>
        <w:pStyle w:val="24"/>
        <w:numPr>
          <w:ilvl w:val="0"/>
          <w:numId w:val="1"/>
        </w:numPr>
      </w:pPr>
      <w:r>
        <w:t>The Notification Log entry matches what actually arrived (right type, right recipients, marked successful).</w:t>
      </w:r>
    </w:p>
    <w:p w14:paraId="505987E6">
      <w:pPr>
        <w:pStyle w:val="24"/>
        <w:numPr>
          <w:ilvl w:val="0"/>
          <w:numId w:val="1"/>
        </w:numPr>
      </w:pPr>
      <w:r>
        <w:t>If a send fails (bad address, provider hiccup), it shows as failed in the log instead of silently vanishing — this is the difference between a real feature and something that only works when nothing goes wrong.</w:t>
      </w:r>
    </w:p>
    <w:p w14:paraId="53CA75E4">
      <w:r>
        <w:pict>
          <v:rect id="_x0000_i1027" o:spt="1" style="height:1.5pt;width:0pt;" coordsize="21600,21600" o:hr="t" o:hrstd="t" o:hralign="center">
            <v:path/>
            <v:fill focussize="0,0"/>
            <v:stroke/>
            <v:imagedata o:title=""/>
            <o:lock v:ext="edit"/>
            <w10:wrap type="none"/>
            <w10:anchorlock/>
          </v:rect>
        </w:pict>
      </w:r>
    </w:p>
    <w:bookmarkEnd w:id="3"/>
    <w:bookmarkEnd w:id="7"/>
    <w:p w14:paraId="37927F31">
      <w:pPr>
        <w:pStyle w:val="4"/>
      </w:pPr>
      <w:bookmarkStart w:id="8" w:name="feature-2-ats-integration"/>
      <w:r>
        <w:t>Feature 2: ATS Integration</w:t>
      </w:r>
    </w:p>
    <w:p w14:paraId="532DB13B">
      <w:pPr>
        <w:pStyle w:val="5"/>
      </w:pPr>
      <w:bookmarkStart w:id="9" w:name="where-it-lives-in-the-dashboard-1"/>
      <w:r>
        <w:t>Where it lives in the dashboard</w:t>
      </w:r>
    </w:p>
    <w:p w14:paraId="171E5F88">
      <w:pPr>
        <w:pStyle w:val="23"/>
      </w:pPr>
      <w:r>
        <w:t xml:space="preserve">Unlike email, this </w:t>
      </w:r>
      <w:r>
        <w:rPr>
          <w:b/>
          <w:bCs/>
        </w:rPr>
        <w:t>is</w:t>
      </w:r>
      <w:r>
        <w:t xml:space="preserve"> a real, visible feature with its own screen — the client actively manages it, not just configures it once and forgets it.</w:t>
      </w:r>
    </w:p>
    <w:p w14:paraId="2196044A">
      <w:pPr>
        <w:pStyle w:val="24"/>
        <w:numPr>
          <w:ilvl w:val="0"/>
          <w:numId w:val="1"/>
        </w:numPr>
      </w:pPr>
      <w:r>
        <w:rPr>
          <w:b/>
          <w:bCs/>
        </w:rPr>
        <w:t>Employer → Settings → new “Integrations” tab.</w:t>
      </w:r>
      <w:r>
        <w:t xml:space="preserve"> This is where the client connects their existing ATS (starting with Greenhouse). They paste in an API key generated from their own Greenhouse account, click </w:t>
      </w:r>
      <w:r>
        <w:rPr>
          <w:b/>
          <w:bCs/>
        </w:rPr>
        <w:t>Connect</w:t>
      </w:r>
      <w:r>
        <w:t>, and toggle automatic syncing on. This tab also shows status: last synced time, how many jobs came in, and any errors — so the client can check on it themselves without asking you.</w:t>
      </w:r>
    </w:p>
    <w:p w14:paraId="19D87350">
      <w:pPr>
        <w:pStyle w:val="24"/>
        <w:numPr>
          <w:ilvl w:val="0"/>
          <w:numId w:val="1"/>
        </w:numPr>
      </w:pPr>
      <w:r>
        <w:rPr>
          <w:b/>
          <w:bCs/>
        </w:rPr>
        <w:t>Employer → Jobs list</w:t>
      </w:r>
      <w:r>
        <w:t xml:space="preserve"> (the existing page where all their postings live) gains a small </w:t>
      </w:r>
      <w:r>
        <w:rPr>
          <w:b/>
          <w:bCs/>
        </w:rPr>
        <w:t>“Imported from Greenhouse”</w:t>
      </w:r>
      <w:r>
        <w:t xml:space="preserve"> badge next to any job that arrived through the connector — sitting right alongside jobs they posted manually, so it’s obvious at a glance which is which.</w:t>
      </w:r>
    </w:p>
    <w:p w14:paraId="6C85ECB5">
      <w:pPr>
        <w:pStyle w:val="24"/>
        <w:numPr>
          <w:ilvl w:val="0"/>
          <w:numId w:val="1"/>
        </w:numPr>
      </w:pPr>
      <w:r>
        <w:rPr>
          <w:b/>
          <w:bCs/>
        </w:rPr>
        <w:t>Admin → new “ATS Connections” overview.</w:t>
      </w:r>
      <w:r>
        <w:t xml:space="preserve"> Shows every organization that has connected an ATS, when each last synced, and whether anything’s failing — same oversight role as the Notification Log above, but for this feature.</w:t>
      </w:r>
    </w:p>
    <w:bookmarkEnd w:id="9"/>
    <w:p w14:paraId="3B542FF8">
      <w:pPr>
        <w:pStyle w:val="5"/>
      </w:pPr>
      <w:bookmarkStart w:id="10" w:name="what-to-tell-the-client-in-their-words-1"/>
      <w:r>
        <w:t>What to tell the client, in their words</w:t>
      </w:r>
    </w:p>
    <w:p w14:paraId="785448AB">
      <w:pPr>
        <w:pStyle w:val="23"/>
      </w:pPr>
      <w:r>
        <w:rPr>
          <w:i/>
          <w:iCs/>
        </w:rPr>
        <w:t>“Instead of your recruiters logging into Blackbox to post every job by hand, you connect your existing Greenhouse account once, in your Integrations settings. From then on, any job your team creates in Greenhouse shows up here automatically — matched to candidates, everything — with a small tag showing it came from Greenhouse. Nobody on your team has to change how they already work.”</w:t>
      </w:r>
    </w:p>
    <w:bookmarkEnd w:id="10"/>
    <w:p w14:paraId="1B7CFE68">
      <w:pPr>
        <w:pStyle w:val="5"/>
      </w:pPr>
      <w:bookmarkStart w:id="11" w:name="how-to-demo-it-live-1"/>
      <w:r>
        <w:t>How to demo it live</w:t>
      </w:r>
    </w:p>
    <w:p w14:paraId="56845857">
      <w:pPr>
        <w:pStyle w:val="24"/>
        <w:numPr>
          <w:ilvl w:val="0"/>
          <w:numId w:val="3"/>
        </w:numPr>
      </w:pPr>
      <w:r>
        <w:t xml:space="preserve">Have a </w:t>
      </w:r>
      <w:r>
        <w:rPr>
          <w:b/>
          <w:bCs/>
        </w:rPr>
        <w:t>free Greenhouse trial account</w:t>
      </w:r>
      <w:r>
        <w:t xml:space="preserve"> open in another tab with 2–3 sample jobs already created in it — this stands in for “the client’s existing ATS.”</w:t>
      </w:r>
    </w:p>
    <w:p w14:paraId="2C614FA4">
      <w:pPr>
        <w:pStyle w:val="24"/>
        <w:numPr>
          <w:ilvl w:val="0"/>
          <w:numId w:val="3"/>
        </w:numPr>
      </w:pPr>
      <w:r>
        <w:t xml:space="preserve">In Blackbox, log in as the test employer → </w:t>
      </w:r>
      <w:r>
        <w:rPr>
          <w:b/>
          <w:bCs/>
        </w:rPr>
        <w:t>Settings → Integrations</w:t>
      </w:r>
      <w:r>
        <w:t xml:space="preserve"> → paste the Greenhouse API key → click </w:t>
      </w:r>
      <w:r>
        <w:rPr>
          <w:b/>
          <w:bCs/>
        </w:rPr>
        <w:t>Connect</w:t>
      </w:r>
      <w:r>
        <w:t xml:space="preserve"> → toggle sync on.</w:t>
      </w:r>
    </w:p>
    <w:p w14:paraId="53D0403A">
      <w:pPr>
        <w:pStyle w:val="24"/>
        <w:numPr>
          <w:ilvl w:val="0"/>
          <w:numId w:val="3"/>
        </w:numPr>
      </w:pPr>
      <w:r>
        <w:t xml:space="preserve">Trigger a sync — </w:t>
      </w:r>
      <w:r>
        <w:rPr>
          <w:i/>
          <w:iCs/>
        </w:rPr>
        <w:t>(recommend building a manual “Sync now” button specifically for demo purposes, so the client doesn’t have to wait for the scheduled automatic interval to see it work)</w:t>
      </w:r>
      <w:r>
        <w:t>.</w:t>
      </w:r>
    </w:p>
    <w:p w14:paraId="01E12F87">
      <w:pPr>
        <w:pStyle w:val="24"/>
        <w:numPr>
          <w:ilvl w:val="0"/>
          <w:numId w:val="3"/>
        </w:numPr>
      </w:pPr>
      <w:r>
        <w:t xml:space="preserve">Switch to </w:t>
      </w:r>
      <w:r>
        <w:rPr>
          <w:b/>
          <w:bCs/>
        </w:rPr>
        <w:t>Employer → Jobs</w:t>
      </w:r>
      <w:r>
        <w:t xml:space="preserve"> — the 2–3 Greenhouse jobs now appear on their own, tagged </w:t>
      </w:r>
      <w:r>
        <w:rPr>
          <w:b/>
          <w:bCs/>
        </w:rPr>
        <w:t>“Imported from Greenhouse,”</w:t>
      </w:r>
      <w:r>
        <w:t xml:space="preserve"> without anyone having typed them into Blackbox.</w:t>
      </w:r>
    </w:p>
    <w:p w14:paraId="628D393B">
      <w:pPr>
        <w:pStyle w:val="24"/>
        <w:numPr>
          <w:ilvl w:val="0"/>
          <w:numId w:val="3"/>
        </w:numPr>
      </w:pPr>
      <w:r>
        <w:t>Click into one of them — show it already has candidate matches, exactly like a job posted manually. This is the moment that proves it’s not just an import, it’s a fully working job on the platform.</w:t>
      </w:r>
    </w:p>
    <w:p w14:paraId="7F025894">
      <w:pPr>
        <w:pStyle w:val="24"/>
        <w:numPr>
          <w:ilvl w:val="0"/>
          <w:numId w:val="3"/>
        </w:numPr>
      </w:pPr>
      <w:r>
        <w:t>Run the sync a second time in front of them — confirm no duplicates appear. This directly answers the unspoken question every client has about auto-sync features: “what happens if it runs twice?”</w:t>
      </w:r>
    </w:p>
    <w:p w14:paraId="76451166">
      <w:pPr>
        <w:pStyle w:val="24"/>
        <w:numPr>
          <w:ilvl w:val="0"/>
          <w:numId w:val="3"/>
        </w:numPr>
      </w:pPr>
      <w:r>
        <w:t xml:space="preserve">Open </w:t>
      </w:r>
      <w:r>
        <w:rPr>
          <w:b/>
          <w:bCs/>
        </w:rPr>
        <w:t>Admin → ATS Connections</w:t>
      </w:r>
      <w:r>
        <w:t xml:space="preserve"> — show this organization listed, last synced just now, jobs-imported count matching what they just saw.</w:t>
      </w:r>
    </w:p>
    <w:bookmarkEnd w:id="11"/>
    <w:p w14:paraId="31F284C7">
      <w:pPr>
        <w:pStyle w:val="5"/>
      </w:pPr>
      <w:bookmarkStart w:id="12" w:name="X6721a4e83a3d39f2bb6837e19f0354445d92557"/>
      <w:r>
        <w:t>How you’ll know it’s actually working (not just demo-working)</w:t>
      </w:r>
    </w:p>
    <w:p w14:paraId="1E0BB981">
      <w:pPr>
        <w:pStyle w:val="24"/>
        <w:numPr>
          <w:ilvl w:val="0"/>
          <w:numId w:val="1"/>
        </w:numPr>
      </w:pPr>
      <w:r>
        <w:t>Jobs physically appear in the Blackbox dashboard without manual entry — that’s the core promise, and it’s directly observable.</w:t>
      </w:r>
    </w:p>
    <w:p w14:paraId="34449023">
      <w:pPr>
        <w:pStyle w:val="24"/>
        <w:numPr>
          <w:ilvl w:val="0"/>
          <w:numId w:val="1"/>
        </w:numPr>
      </w:pPr>
      <w:r>
        <w:t>Matching runs on imported jobs exactly like manually-posted ones (candidates show up, scores show up) — proves the integration isn’t a shortcut that skips the platform’s real logic.</w:t>
      </w:r>
    </w:p>
    <w:p w14:paraId="63591310">
      <w:pPr>
        <w:pStyle w:val="24"/>
        <w:numPr>
          <w:ilvl w:val="0"/>
          <w:numId w:val="1"/>
        </w:numPr>
      </w:pPr>
      <w:r>
        <w:t>Running the sync twice doesn’t create duplicate jobs — proves the connector is safe to leave running unattended.</w:t>
      </w:r>
    </w:p>
    <w:p w14:paraId="2D05C1A3">
      <w:pPr>
        <w:pStyle w:val="24"/>
        <w:numPr>
          <w:ilvl w:val="0"/>
          <w:numId w:val="1"/>
        </w:numPr>
      </w:pPr>
      <w:r>
        <w:t>The Admin overview page agrees with what the employer sees — proves the two views aren’t drifting out of sync with each other.</w:t>
      </w:r>
    </w:p>
    <w:p w14:paraId="06ADFADB">
      <w:r>
        <w:pict>
          <v:rect id="_x0000_i1028" o:spt="1" style="height:1.5pt;width:0pt;" coordsize="21600,21600" o:hr="t" o:hrstd="t" o:hralign="center">
            <v:path/>
            <v:fill focussize="0,0"/>
            <v:stroke/>
            <v:imagedata o:title=""/>
            <o:lock v:ext="edit"/>
            <w10:wrap type="none"/>
            <w10:anchorlock/>
          </v:rect>
        </w:pict>
      </w:r>
    </w:p>
    <w:bookmarkEnd w:id="8"/>
    <w:bookmarkEnd w:id="12"/>
    <w:p w14:paraId="656083CF">
      <w:pPr>
        <w:pStyle w:val="4"/>
      </w:pPr>
      <w:bookmarkStart w:id="13" w:name="Xf5d98039a92822d206d7f02e375e81f94b590d0"/>
      <w:r>
        <w:t>The one-line distinction to keep in your head</w:t>
      </w:r>
    </w:p>
    <w:p w14:paraId="0AC2EA86">
      <w:pPr>
        <w:pStyle w:val="23"/>
      </w:pPr>
      <w:r>
        <w:rPr>
          <w:b/>
          <w:bCs/>
        </w:rPr>
        <w:t>Email notifications</w:t>
      </w:r>
      <w:r>
        <w:t xml:space="preserve">: you’re proving something happens </w:t>
      </w:r>
      <w:r>
        <w:rPr>
          <w:i/>
          <w:iCs/>
        </w:rPr>
        <w:t>outside</w:t>
      </w:r>
      <w:r>
        <w:t xml:space="preserve"> Blackbox (an inbox gets mail). Point the client at their email, not the dashboard.</w:t>
      </w:r>
    </w:p>
    <w:p w14:paraId="122DF189">
      <w:pPr>
        <w:pStyle w:val="3"/>
      </w:pPr>
      <w:r>
        <w:rPr>
          <w:b/>
          <w:bCs/>
        </w:rPr>
        <w:t>ATS integration</w:t>
      </w:r>
      <w:r>
        <w:t xml:space="preserve">: you’re proving something happens </w:t>
      </w:r>
      <w:r>
        <w:rPr>
          <w:i/>
          <w:iCs/>
        </w:rPr>
        <w:t>inside</w:t>
      </w:r>
      <w:r>
        <w:t xml:space="preserve"> Blackbox (jobs appear on their own). Point the client at the dashboard, specifically the new Integrations tab and the Jobs list badge.</w:t>
      </w:r>
    </w:p>
    <w:p w14:paraId="4F767DD5">
      <w:r>
        <w:pict>
          <v:rect id="_x0000_i1029" o:spt="1" style="height:1.5pt;width:0pt;" coordsize="21600,21600" o:hr="t" o:hrstd="t" o:hralign="center">
            <v:path/>
            <v:fill focussize="0,0"/>
            <v:stroke/>
            <v:imagedata o:title=""/>
            <o:lock v:ext="edit"/>
            <w10:wrap type="none"/>
            <w10:anchorlock/>
          </v:rect>
        </w:pict>
      </w:r>
    </w:p>
    <w:p w14:paraId="5612AF17">
      <w:pPr>
        <w:pStyle w:val="23"/>
      </w:pPr>
      <w:r>
        <w:rPr>
          <w:i/>
          <w:iCs/>
        </w:rPr>
        <w:t>This document is a walkthrough guide only — it doesn’t change anything in the existing plan. Nothing described here has been built yet.</w:t>
      </w:r>
    </w:p>
    <w:bookmarkEnd w:id="0"/>
    <w:bookmarkEnd w:id="1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71315DCA"/>
    <w:multiLevelType w:val="multilevel"/>
    <w:tmpl w:val="71315DC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35BD2F06"/>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5"/>
    <w:uiPriority w:val="0"/>
    <w:pPr>
      <w:keepNext/>
    </w:pPr>
  </w:style>
  <w:style w:type="paragraph" w:customStyle="1" w:styleId="32">
    <w:name w:val="Image Caption"/>
    <w:basedOn w:val="15"/>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18"/>
    <w:link w:val="36"/>
    <w:uiPriority w:val="0"/>
    <w:rPr>
      <w:rFonts w:ascii="Consolas" w:hAnsi="Consolas"/>
      <w:sz w:val="22"/>
    </w:rPr>
  </w:style>
  <w:style w:type="paragraph" w:customStyle="1" w:styleId="36">
    <w:name w:val="Source Code"/>
    <w:basedOn w:val="1"/>
    <w:link w:val="35"/>
    <w:uiPriority w:val="0"/>
    <w:pPr>
      <w:wordWrap w:val="0"/>
    </w:pPr>
  </w:style>
  <w:style w:type="character" w:customStyle="1" w:styleId="37">
    <w:name w:val="Section Number"/>
    <w:basedOn w:val="18"/>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uiPriority w:val="0"/>
    <w:rPr>
      <w:b/>
      <w:color w:val="007020"/>
    </w:rPr>
  </w:style>
  <w:style w:type="character" w:customStyle="1" w:styleId="40">
    <w:name w:val="DataTypeTok"/>
    <w:basedOn w:val="35"/>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uiPriority w:val="0"/>
    <w:rPr>
      <w:color w:val="BB6688"/>
    </w:rPr>
  </w:style>
  <w:style w:type="character" w:customStyle="1" w:styleId="50">
    <w:name w:val="ImportTok"/>
    <w:basedOn w:val="35"/>
    <w:uiPriority w:val="0"/>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uiPriority w:val="0"/>
    <w:rPr>
      <w:color w:val="007020"/>
    </w:rPr>
  </w:style>
  <w:style w:type="character" w:customStyle="1" w:styleId="56">
    <w:name w:val="FunctionTok"/>
    <w:basedOn w:val="35"/>
    <w:uiPriority w:val="0"/>
    <w:rPr>
      <w:color w:val="06287E"/>
    </w:rPr>
  </w:style>
  <w:style w:type="character" w:customStyle="1" w:styleId="57">
    <w:name w:val="VariableTok"/>
    <w:basedOn w:val="35"/>
    <w:uiPriority w:val="0"/>
    <w:rPr>
      <w:color w:val="19177C"/>
    </w:rPr>
  </w:style>
  <w:style w:type="character" w:customStyle="1" w:styleId="58">
    <w:name w:val="ControlFlowTok"/>
    <w:basedOn w:val="35"/>
    <w:uiPriority w:val="0"/>
    <w:rPr>
      <w:b/>
      <w:color w:val="007020"/>
    </w:rPr>
  </w:style>
  <w:style w:type="character" w:customStyle="1" w:styleId="59">
    <w:name w:val="OperatorTok"/>
    <w:basedOn w:val="35"/>
    <w:uiPriority w:val="0"/>
    <w:rPr>
      <w:color w:val="666666"/>
    </w:rPr>
  </w:style>
  <w:style w:type="character" w:customStyle="1" w:styleId="60">
    <w:name w:val="BuiltInTok"/>
    <w:basedOn w:val="35"/>
    <w:uiPriority w:val="0"/>
  </w:style>
  <w:style w:type="character" w:customStyle="1" w:styleId="61">
    <w:name w:val="ExtensionTok"/>
    <w:basedOn w:val="35"/>
    <w:uiPriority w:val="0"/>
  </w:style>
  <w:style w:type="character" w:customStyle="1" w:styleId="62">
    <w:name w:val="PreprocessorTok"/>
    <w:basedOn w:val="35"/>
    <w:uiPriority w:val="0"/>
    <w:rPr>
      <w:color w:val="BC7A00"/>
    </w:rPr>
  </w:style>
  <w:style w:type="character" w:customStyle="1" w:styleId="63">
    <w:name w:val="AttributeTok"/>
    <w:basedOn w:val="35"/>
    <w:uiPriority w:val="0"/>
    <w:rPr>
      <w:color w:val="7D9029"/>
    </w:rPr>
  </w:style>
  <w:style w:type="character" w:customStyle="1" w:styleId="64">
    <w:name w:val="RegionMarkerTok"/>
    <w:basedOn w:val="35"/>
    <w:uiPriority w:val="0"/>
  </w:style>
  <w:style w:type="character" w:customStyle="1" w:styleId="65">
    <w:name w:val="InformationTok"/>
    <w:basedOn w:val="35"/>
    <w:uiPriority w:val="0"/>
    <w:rPr>
      <w:b/>
      <w:i/>
      <w:color w:val="60A0B0"/>
    </w:rPr>
  </w:style>
  <w:style w:type="character" w:customStyle="1" w:styleId="66">
    <w:name w:val="WarningTok"/>
    <w:basedOn w:val="35"/>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uiPriority w:val="0"/>
    <w:rPr>
      <w:b/>
      <w:color w:val="FF0000"/>
    </w:rPr>
  </w:style>
  <w:style w:type="character" w:customStyle="1" w:styleId="69">
    <w:name w:val="NormalTok"/>
    <w:basedOn w:val="3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137</TotalTime>
  <ScaleCrop>false</ScaleCrop>
  <LinksUpToDate>false</LinksUpToDate>
  <CharactersWithSpaces>583</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2026-08-10T18:26:00Z</dcterms:created>
  <dc:creator>venkat sharma</dc:creator>
  <cp:lastModifiedBy>venkat sharma</cp:lastModifiedBy>
  <dcterms:modified xsi:type="dcterms:W3CDTF">2026-08-10T21:18:35Z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464D31785585B32ED3F2796A0A2519F2_42</vt:lpwstr>
  </property>
</Properties>
</file>