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64472b65903c464c" /><Relationship Type="http://schemas.openxmlformats.org/package/2006/relationships/metadata/core-properties" Target="/docProps/core.xml" Id="Raf791d08fdea4517" /><Relationship Type="http://schemas.openxmlformats.org/officeDocument/2006/relationships/extended-properties" Target="/docProps/app.xml" Id="R43a67565a87146e7" /><Relationship Type="http://schemas.openxmlformats.org/officeDocument/2006/relationships/custom-properties" Target="/docProps/custom.xml" Id="R4b56a48930f24122"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Telco Customer Churn Prediction &amp; Retention Analytics</w:t>
      </w:r>
    </w:p>
    <w:p w14:paraId="00100002" w14:textId="00100003">
      <w:pPr>
        <w:pStyle w:val="Subtitle"/>
        <w:spacing w:after="80"/>
        <w:jc w:val="center"/>
      </w:pPr>
      <w:r>
        <w:rPr>
          <w:color w:val="3B82F6"/>
          <w:sz w:val="32"/>
        </w:rPr>
        <w:t xml:space="preserve">Business Intelligence Project Report</w:t>
      </w:r>
    </w:p>
    <w:p w14:paraId="00100004" w14:textId="00100005">
      <w:pPr>
        <w:spacing w:after="400"/>
        <w:jc w:val="center"/>
      </w:pPr>
      <w:r>
        <w:rPr>
          <w:color w:val="64748B"/>
          <w:sz w:val="20"/>
        </w:rPr>
        <w:t xml:space="preserve">Dataset: WA_Fn-UseC_-Telco-Customer-Churn  |  Source: Kaggle (blastchar)  |  Model: Random Forest Classifier</w:t>
      </w:r>
    </w:p>
    <w:p w14:paraId="00100006" w14:textId="00100007">
      <w:pPr>
        <w:pStyle w:val="Heading1"/>
        <w:spacing w:before="240" w:after="160"/>
      </w:pPr>
      <w:r>
        <w:rPr>
          <w:b/>
          <w:sz w:val="36"/>
        </w:rPr>
        <w:t xml:space="preserve">Table of Contents</w:t>
      </w:r>
    </w:p>
    <w:p w14:paraId="00100008" w14:textId="00100009">
      <w:pPr>
        <w:spacing w:after="80"/>
      </w:pPr>
      <w:r>
        <w:rPr>
          <w:sz w:val="22"/>
        </w:rPr>
        <w:t xml:space="preserve">1. Problem Statement</w:t>
      </w:r>
    </w:p>
    <w:p w14:paraId="0010000A" w14:textId="0010000B">
      <w:pPr>
        <w:spacing w:after="80"/>
      </w:pPr>
      <w:r>
        <w:rPr>
          <w:sz w:val="22"/>
        </w:rPr>
        <w:t xml:space="preserve">2. Dataset Overview</w:t>
      </w:r>
    </w:p>
    <w:p w14:paraId="0010000C" w14:textId="0010000D">
      <w:pPr>
        <w:spacing w:after="80"/>
      </w:pPr>
      <w:r>
        <w:rPr>
          <w:sz w:val="22"/>
        </w:rPr>
        <w:t xml:space="preserve">3. Approach &amp; Methodology</w:t>
      </w:r>
    </w:p>
    <w:p w14:paraId="0010000E" w14:textId="0010000F">
      <w:pPr>
        <w:spacing w:after="80"/>
      </w:pPr>
      <w:r>
        <w:rPr>
          <w:sz w:val="22"/>
        </w:rPr>
        <w:t xml:space="preserve">4. Exploratory Data Analysis — Key Insights</w:t>
      </w:r>
    </w:p>
    <w:p w14:paraId="00100010" w14:textId="00100011">
      <w:pPr>
        <w:spacing w:after="80"/>
      </w:pPr>
      <w:r>
        <w:rPr>
          <w:sz w:val="22"/>
        </w:rPr>
        <w:t xml:space="preserve">5. KPI Definitions</w:t>
      </w:r>
    </w:p>
    <w:p w14:paraId="00100012" w14:textId="00100013">
      <w:pPr>
        <w:spacing w:after="80"/>
      </w:pPr>
      <w:r>
        <w:rPr>
          <w:sz w:val="22"/>
        </w:rPr>
        <w:t xml:space="preserve">6. Model Performance Metrics</w:t>
      </w:r>
    </w:p>
    <w:p w14:paraId="00100014" w14:textId="00100015">
      <w:pPr>
        <w:spacing w:after="80"/>
      </w:pPr>
      <w:r>
        <w:rPr>
          <w:sz w:val="22"/>
        </w:rPr>
        <w:t xml:space="preserve">7. Dashboard UI — Page-by-Page Walkthrough</w:t>
      </w:r>
    </w:p>
    <w:p w14:paraId="00100016" w14:textId="00100017">
      <w:pPr>
        <w:spacing w:after="80"/>
      </w:pPr>
      <w:r>
        <w:rPr>
          <w:sz w:val="22"/>
        </w:rPr>
        <w:t xml:space="preserve">8. Recommended Business Actions</w:t>
      </w:r>
    </w:p>
    <w:p w14:paraId="00100018" w14:textId="00100019">
      <w:pPr>
        <w:spacing w:after="400"/>
      </w:pPr>
      <w:r>
        <w:rPr>
          <w:sz w:val="22"/>
        </w:rPr>
        <w:t xml:space="preserve">9. Conclusion</w:t>
      </w:r>
    </w:p>
    <w:p w14:paraId="0010001A" w14:textId="0010001B">
      <w:pPr>
        <w:pStyle w:val="Heading1"/>
        <w:spacing w:before="320" w:after="160"/>
      </w:pPr>
      <w:r>
        <w:rPr>
          <w:b/>
          <w:sz w:val="36"/>
        </w:rPr>
        <w:t xml:space="preserve">1. Problem Statement</w:t>
      </w:r>
    </w:p>
    <w:p w14:paraId="0010001C" w14:textId="0010001D">
      <w:pPr>
        <w:spacing w:after="160"/>
      </w:pPr>
      <w:r>
        <w:rPr>
          <w:sz w:val="22"/>
        </w:rPr>
        <w:t xml:space="preserve">Customer churn — the rate at which subscribers cancel their service — is one of the most costly challenges facing telecommunications companies. Acquiring a new customer costs 5–25× more than retaining an existing one. Even a 5% reduction in churn can increase profits by 25–95% (Harvard Business Review).</w:t>
      </w:r>
    </w:p>
    <w:p w14:paraId="0010001E" w14:textId="0010001F">
      <w:pPr>
        <w:spacing w:after="80"/>
      </w:pPr>
      <w:r>
        <w:rPr>
          <w:sz w:val="22"/>
        </w:rPr>
        <w:t xml:space="preserve">The goal of this project is to:</w:t>
      </w:r>
    </w:p>
    <w:p w14:paraId="00100020" w14:textId="00100021">
      <w:pPr>
        <w:numPr>
          <w:ilvl w:val="0"/>
          <w:numId w:val="1"/>
        </w:numPr>
        <w:spacing w:after="60"/>
      </w:pPr>
      <w:r>
        <w:rPr>
          <w:sz w:val="22"/>
        </w:rPr>
        <w:t xml:space="preserve">(a) Understand which customer attributes and service features are most strongly associated with churn.</w:t>
      </w:r>
    </w:p>
    <w:p w14:paraId="00100022" w14:textId="00100023">
      <w:pPr>
        <w:numPr>
          <w:ilvl w:val="0"/>
          <w:numId w:val="1"/>
        </w:numPr>
        <w:spacing w:after="60"/>
      </w:pPr>
      <w:r>
        <w:rPr>
          <w:sz w:val="22"/>
        </w:rPr>
        <w:t xml:space="preserve">(b) Build an accurate machine learning model that predicts the probability of a given customer churning.</w:t>
      </w:r>
    </w:p>
    <w:p w14:paraId="00100024" w14:textId="00100025">
      <w:pPr>
        <w:numPr>
          <w:ilvl w:val="0"/>
          <w:numId w:val="1"/>
        </w:numPr>
        <w:spacing w:after="240"/>
      </w:pPr>
      <w:r>
        <w:rPr>
          <w:sz w:val="22"/>
        </w:rPr>
        <w:t xml:space="preserve">(c) Surface actionable insights and retention strategies through an interactive Business Intelligence dashboard.</w:t>
      </w:r>
    </w:p>
    <w:p w14:paraId="00100026" w14:textId="00100027">
      <w:pPr>
        <w:pStyle w:val="Heading1"/>
        <w:spacing w:before="320" w:after="160"/>
      </w:pPr>
      <w:r>
        <w:rPr>
          <w:b/>
          <w:sz w:val="36"/>
        </w:rPr>
        <w:t xml:space="preserve">2. Dataset Overview</w:t>
      </w:r>
    </w:p>
    <w:p w14:paraId="00100028" w14:textId="00100029">
      <w:pPr>
        <w:spacing w:after="160"/>
      </w:pPr>
      <w:r>
        <w:rPr>
          <w:sz w:val="22"/>
        </w:rPr>
        <w:t xml:space="preserve">The dataset is the publicly available IBM Sample Dataset for Telco Customer Churn, hosted on Kaggle by blastchar (https://www.kaggle.com/datasets/blastchar/telco-customer-churn). It contains 7,043 customer records with 21 attributes spanning demographics, account information, and subscribed services.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A" w14:textId="0010002B">
            <w:r>
              <w:t xml:space="preserve">Category</w:t>
            </w:r>
          </w:p>
        </w:tc>
        <w:tc>
          <w:p w14:paraId="0010002C" w14:textId="0010002D">
            <w:r>
              <w:t xml:space="preserve">Columns</w:t>
            </w:r>
          </w:p>
        </w:tc>
        <w:tc>
          <w:p w14:paraId="0010002E" w14:textId="0010002F">
            <w:r>
              <w:t xml:space="preserve">Description</w:t>
            </w:r>
          </w:p>
        </w:tc>
      </w:tr>
      <w:tr>
        <w:trPr/>
        <w:tc>
          <w:p w14:paraId="00100030" w14:textId="00100031">
            <w:r>
              <w:t xml:space="preserve">Demographics</w:t>
            </w:r>
          </w:p>
        </w:tc>
        <w:tc>
          <w:p w14:paraId="00100032" w14:textId="00100033">
            <w:r>
              <w:t xml:space="preserve">customerID, gender, SeniorCitizen, Partner, Dependents</w:t>
            </w:r>
          </w:p>
        </w:tc>
        <w:tc>
          <w:p w14:paraId="00100034" w14:textId="00100035">
            <w:r>
              <w:t xml:space="preserve">Customer identity and household attributes</w:t>
            </w:r>
          </w:p>
        </w:tc>
      </w:tr>
      <w:tr>
        <w:trPr/>
        <w:tc>
          <w:p w14:paraId="00100036" w14:textId="00100037">
            <w:r>
              <w:t xml:space="preserve">Account Info</w:t>
            </w:r>
          </w:p>
        </w:tc>
        <w:tc>
          <w:p w14:paraId="00100038" w14:textId="00100039">
            <w:r>
              <w:t xml:space="preserve">tenure, Contract, PaperlessBilling, PaymentMethod</w:t>
            </w:r>
          </w:p>
        </w:tc>
        <w:tc>
          <w:p w14:paraId="0010003A" w14:textId="0010003B">
            <w:r>
              <w:t xml:space="preserve">Contract and billing details</w:t>
            </w:r>
          </w:p>
        </w:tc>
      </w:tr>
      <w:tr>
        <w:trPr/>
        <w:tc>
          <w:p w14:paraId="0010003C" w14:textId="0010003D">
            <w:r>
              <w:t xml:space="preserve">Financial</w:t>
            </w:r>
          </w:p>
        </w:tc>
        <w:tc>
          <w:p w14:paraId="0010003E" w14:textId="0010003F">
            <w:r>
              <w:t xml:space="preserve">MonthlyCharges, TotalCharges</w:t>
            </w:r>
          </w:p>
        </w:tc>
        <w:tc>
          <w:p w14:paraId="00100040" w14:textId="00100041">
            <w:r>
              <w:t xml:space="preserve">Revenue per customer (monthly and cumulative)</w:t>
            </w:r>
          </w:p>
        </w:tc>
      </w:tr>
      <w:tr>
        <w:trPr/>
        <w:tc>
          <w:p w14:paraId="00100042" w14:textId="00100043">
            <w:r>
              <w:t xml:space="preserve">Phone Services</w:t>
            </w:r>
          </w:p>
        </w:tc>
        <w:tc>
          <w:p w14:paraId="00100044" w14:textId="00100045">
            <w:r>
              <w:t xml:space="preserve">PhoneService, MultipleLines</w:t>
            </w:r>
          </w:p>
        </w:tc>
        <w:tc>
          <w:p w14:paraId="00100046" w14:textId="00100047">
            <w:r>
              <w:t xml:space="preserve">Phone subscription flags</w:t>
            </w:r>
          </w:p>
        </w:tc>
      </w:tr>
      <w:tr>
        <w:trPr/>
        <w:tc>
          <w:p w14:paraId="00100048" w14:textId="00100049">
            <w:r>
              <w:t xml:space="preserve">Internet Services</w:t>
            </w:r>
          </w:p>
        </w:tc>
        <w:tc>
          <w:p w14:paraId="0010004A" w14:textId="0010004B">
            <w:r>
              <w:t xml:space="preserve">InternetService, OnlineSecurity, OnlineBackup, DeviceProtection, TechSupport</w:t>
            </w:r>
          </w:p>
        </w:tc>
        <w:tc>
          <w:p w14:paraId="0010004C" w14:textId="0010004D">
            <w:r>
              <w:t xml:space="preserve">Internet plan and add-on services</w:t>
            </w:r>
          </w:p>
        </w:tc>
      </w:tr>
      <w:tr>
        <w:trPr/>
        <w:tc>
          <w:p w14:paraId="0010004E" w14:textId="0010004F">
            <w:r>
              <w:t xml:space="preserve">Streaming</w:t>
            </w:r>
          </w:p>
        </w:tc>
        <w:tc>
          <w:p w14:paraId="00100050" w14:textId="00100051">
            <w:r>
              <w:t xml:space="preserve">StreamingTV, StreamingMovies</w:t>
            </w:r>
          </w:p>
        </w:tc>
        <w:tc>
          <w:p w14:paraId="00100052" w14:textId="00100053">
            <w:r>
              <w:t xml:space="preserve">Content streaming subscriptions</w:t>
            </w:r>
          </w:p>
        </w:tc>
      </w:tr>
      <w:tr>
        <w:trPr/>
        <w:tc>
          <w:p w14:paraId="00100054" w14:textId="00100055">
            <w:r>
              <w:t xml:space="preserve">Target</w:t>
            </w:r>
          </w:p>
        </w:tc>
        <w:tc>
          <w:p w14:paraId="00100056" w14:textId="00100057">
            <w:r>
              <w:t xml:space="preserve">Churn</w:t>
            </w:r>
          </w:p>
        </w:tc>
        <w:tc>
          <w:p w14:paraId="00100058" w14:textId="00100059">
            <w:r>
              <w:t xml:space="preserve">Binary target: Yes = customer churned, No = retained</w:t>
            </w:r>
          </w:p>
        </w:tc>
      </w:tr>
    </w:tbl>
    <w:p w14:paraId="0010005A" w14:textId="0010005B">
      <w:pPr>
        <w:pStyle w:val="Heading2"/>
        <w:spacing w:before="240" w:after="120"/>
      </w:pPr>
      <w:r>
        <w:rPr>
          <w:b/>
          <w:sz w:val="28"/>
        </w:rPr>
        <w:t xml:space="preserve">Data Quality Notes</w:t>
      </w:r>
    </w:p>
    <w:p w14:paraId="0010005C" w14:textId="0010005D">
      <w:pPr>
        <w:spacing w:after="240"/>
      </w:pPr>
      <w:r>
        <w:rPr>
          <w:sz w:val="22"/>
        </w:rPr>
        <w:t xml:space="preserve">TotalCharges contained 11 blank string values (customers with tenure = 0, i.e., brand-new subscribers). These were coerced to NaN and filled with the column median. No other missing values were present. The target variable is imbalanced: 73.5% No-churn vs 26.5% Churn — addressed in modelling via class_weight='balanced'.</w:t>
      </w:r>
    </w:p>
    <w:p w14:paraId="0010005E" w14:textId="0010005F">
      <w:pPr>
        <w:pStyle w:val="Heading1"/>
        <w:spacing w:before="320" w:after="160"/>
      </w:pPr>
      <w:r>
        <w:rPr>
          <w:b/>
          <w:sz w:val="36"/>
        </w:rPr>
        <w:t xml:space="preserve">3. Approach &amp; Methodology</w:t>
      </w:r>
    </w:p>
    <w:p w14:paraId="00100060" w14:textId="00100061">
      <w:pPr>
        <w:pStyle w:val="Heading2"/>
        <w:spacing w:before="160" w:after="120"/>
      </w:pPr>
      <w:r>
        <w:rPr>
          <w:b/>
          <w:sz w:val="28"/>
        </w:rPr>
        <w:t xml:space="preserve">3.1 Data Processing Pipeline</w:t>
      </w:r>
    </w:p>
    <w:p w14:paraId="00100062" w14:textId="00100063">
      <w:pPr>
        <w:numPr>
          <w:ilvl w:val="0"/>
          <w:numId w:val="2"/>
        </w:numPr>
        <w:spacing w:after="60"/>
      </w:pPr>
      <w:r>
        <w:rPr>
          <w:sz w:val="22"/>
        </w:rPr>
        <w:t xml:space="preserve">Step 1 — Load CSV and convert TotalCharges to numeric, median-imputing blanks.</w:t>
      </w:r>
    </w:p>
    <w:p w14:paraId="00100064" w14:textId="00100065">
      <w:pPr>
        <w:numPr>
          <w:ilvl w:val="0"/>
          <w:numId w:val="2"/>
        </w:numPr>
        <w:spacing w:after="60"/>
      </w:pPr>
      <w:r>
        <w:rPr>
          <w:sz w:val="22"/>
        </w:rPr>
        <w:t xml:space="preserve">Step 2 — Encode binary Churn target (Yes → 1, No → 0).</w:t>
      </w:r>
    </w:p>
    <w:p w14:paraId="00100066" w14:textId="00100067">
      <w:pPr>
        <w:numPr>
          <w:ilvl w:val="0"/>
          <w:numId w:val="2"/>
        </w:numPr>
        <w:spacing w:after="60"/>
      </w:pPr>
      <w:r>
        <w:rPr>
          <w:sz w:val="22"/>
        </w:rPr>
        <w:t xml:space="preserve">Step 3 — Engineer TenureBucket (0–12, 13–24, 25–48, 49–72 months) and ChargeTier (Low/Mid/High/Premium).</w:t>
      </w:r>
    </w:p>
    <w:p w14:paraId="00100068" w14:textId="00100069">
      <w:pPr>
        <w:numPr>
          <w:ilvl w:val="0"/>
          <w:numId w:val="2"/>
        </w:numPr>
        <w:spacing w:after="160"/>
      </w:pPr>
      <w:r>
        <w:rPr>
          <w:sz w:val="22"/>
        </w:rPr>
        <w:t xml:space="preserve">Step 4 — Label-encode all 15 categorical features for model input.</w:t>
      </w:r>
    </w:p>
    <w:p w14:paraId="0010006A" w14:textId="0010006B">
      <w:pPr>
        <w:pStyle w:val="Heading2"/>
        <w:spacing w:before="160" w:after="120"/>
      </w:pPr>
      <w:r>
        <w:rPr>
          <w:b/>
          <w:sz w:val="28"/>
        </w:rPr>
        <w:t xml:space="preserve">3.2 Modelling Approach</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6C" w14:textId="0010006D">
            <w:r>
              <w:t xml:space="preserve">Decision</w:t>
            </w:r>
          </w:p>
        </w:tc>
        <w:tc>
          <w:p w14:paraId="0010006E" w14:textId="0010006F">
            <w:r>
              <w:t xml:space="preserve">Choice</w:t>
            </w:r>
          </w:p>
        </w:tc>
        <w:tc>
          <w:p w14:paraId="00100070" w14:textId="00100071">
            <w:r>
              <w:t xml:space="preserve">Rationale</w:t>
            </w:r>
          </w:p>
        </w:tc>
      </w:tr>
      <w:tr>
        <w:trPr/>
        <w:tc>
          <w:p w14:paraId="00100072" w14:textId="00100073">
            <w:r>
              <w:t xml:space="preserve">Train/Test split</w:t>
            </w:r>
          </w:p>
        </w:tc>
        <w:tc>
          <w:p w14:paraId="00100074" w14:textId="00100075">
            <w:r>
              <w:t xml:space="preserve">80% train / 20% test, stratified</w:t>
            </w:r>
          </w:p>
        </w:tc>
        <w:tc>
          <w:p w14:paraId="00100076" w14:textId="00100077">
            <w:r>
              <w:t xml:space="preserve">Preserves churn ratio in both sets</w:t>
            </w:r>
          </w:p>
        </w:tc>
      </w:tr>
      <w:tr>
        <w:trPr/>
        <w:tc>
          <w:p w14:paraId="00100078" w14:textId="00100079">
            <w:r>
              <w:t xml:space="preserve">Class imbalance</w:t>
            </w:r>
          </w:p>
        </w:tc>
        <w:tc>
          <w:p w14:paraId="0010007A" w14:textId="0010007B">
            <w:r>
              <w:t xml:space="preserve">class_weight='balanced'</w:t>
            </w:r>
          </w:p>
        </w:tc>
        <w:tc>
          <w:p w14:paraId="0010007C" w14:textId="0010007D">
            <w:r>
              <w:t xml:space="preserve">Prevents model from ignoring the minority churn class</w:t>
            </w:r>
          </w:p>
        </w:tc>
      </w:tr>
      <w:tr>
        <w:trPr/>
        <w:tc>
          <w:p w14:paraId="0010007E" w14:textId="0010007F">
            <w:r>
              <w:t xml:space="preserve">Model 1</w:t>
            </w:r>
          </w:p>
        </w:tc>
        <w:tc>
          <w:p w14:paraId="00100080" w14:textId="00100081">
            <w:r>
              <w:t xml:space="preserve">Logistic Regression (L2, max_iter=1000)</w:t>
            </w:r>
          </w:p>
        </w:tc>
        <w:tc>
          <w:p w14:paraId="00100082" w14:textId="00100083">
            <w:r>
              <w:t xml:space="preserve">Baseline linear model; interpretable coefficients</w:t>
            </w:r>
          </w:p>
        </w:tc>
      </w:tr>
      <w:tr>
        <w:trPr/>
        <w:tc>
          <w:p w14:paraId="00100084" w14:textId="00100085">
            <w:r>
              <w:t xml:space="preserve">Model 2</w:t>
            </w:r>
          </w:p>
        </w:tc>
        <w:tc>
          <w:p w14:paraId="00100086" w14:textId="00100087">
            <w:r>
              <w:t xml:space="preserve">Random Forest (200 trees)</w:t>
            </w:r>
          </w:p>
        </w:tc>
        <w:tc>
          <w:p w14:paraId="00100088" w14:textId="00100089">
            <w:r>
              <w:t xml:space="preserve">Non-linear, handles feature interactions; typically wins on AUC</w:t>
            </w:r>
          </w:p>
        </w:tc>
      </w:tr>
    </w:tbl>
    <w:p w14:paraId="0010008A" w14:textId="0010008B">
      <w:pPr>
        <w:spacing w:before="160" w:after="240"/>
      </w:pPr>
      <w:r>
        <w:rPr>
          <w:sz w:val="22"/>
        </w:rPr>
        <w:t xml:space="preserve">Model selection criterion: highest AUC-ROC on the held-out test set. The winner is used to score all 7,043 customers for the Risk &amp; Action page.</w:t>
      </w:r>
    </w:p>
    <w:p w14:paraId="0010008C" w14:textId="0010008D">
      <w:pPr>
        <w:pStyle w:val="Heading1"/>
        <w:spacing w:before="320" w:after="160"/>
      </w:pPr>
      <w:r>
        <w:rPr>
          <w:b/>
          <w:sz w:val="36"/>
        </w:rPr>
        <w:t xml:space="preserve">4. Exploratory Data Analysis — Key Insights</w:t>
      </w:r>
    </w:p>
    <w:p w14:paraId="0010008E" w14:textId="0010008F">
      <w:pPr>
        <w:spacing w:after="160"/>
      </w:pPr>
      <w:r>
        <w:rPr>
          <w:sz w:val="22"/>
        </w:rPr>
        <w:t xml:space="preserve">The following insights were drawn from the EDA performed in the Streamlit dashboard (Trend &amp; Driver Analysis page):</w:t>
      </w:r>
    </w:p>
    <w:p w14:paraId="00100090" w14:textId="00100091">
      <w:pPr>
        <w:pStyle w:val="Heading2"/>
        <w:spacing w:before="160" w:after="120"/>
      </w:pPr>
      <w:r>
        <w:rPr>
          <w:b/>
          <w:sz w:val="28"/>
        </w:rPr>
        <w:t xml:space="preserve">4.1 Contract Type is the Strongest Predictor</w:t>
      </w:r>
    </w:p>
    <w:tbl>
      <w:tblPr>
        <w:tblW w:w="4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92" w14:textId="00100093">
            <w:r>
              <w:t xml:space="preserve">Contract Type</w:t>
            </w:r>
          </w:p>
        </w:tc>
        <w:tc>
          <w:p w14:paraId="00100094" w14:textId="00100095">
            <w:r>
              <w:t xml:space="preserve">Churn Rate</w:t>
            </w:r>
          </w:p>
        </w:tc>
        <w:tc>
          <w:p w14:paraId="00100096" w14:textId="00100097">
            <w:r>
              <w:t xml:space="preserve">Interpretation</w:t>
            </w:r>
          </w:p>
        </w:tc>
      </w:tr>
      <w:tr>
        <w:trPr/>
        <w:tc>
          <w:p w14:paraId="00100098" w14:textId="00100099">
            <w:r>
              <w:t xml:space="preserve">Month-to-month</w:t>
            </w:r>
          </w:p>
        </w:tc>
        <w:tc>
          <w:p w14:paraId="0010009A" w14:textId="0010009B">
            <w:r>
              <w:t xml:space="preserve">~42%</w:t>
            </w:r>
          </w:p>
        </w:tc>
        <w:tc>
          <w:p w14:paraId="0010009C" w14:textId="0010009D">
            <w:r>
              <w:t xml:space="preserve">Highest risk — no commitment lock-in</w:t>
            </w:r>
          </w:p>
        </w:tc>
      </w:tr>
      <w:tr>
        <w:trPr/>
        <w:tc>
          <w:p w14:paraId="0010009E" w14:textId="0010009F">
            <w:r>
              <w:t xml:space="preserve">One year</w:t>
            </w:r>
          </w:p>
        </w:tc>
        <w:tc>
          <w:p w14:paraId="001000A0" w14:textId="001000A1">
            <w:r>
              <w:t xml:space="preserve">~11%</w:t>
            </w:r>
          </w:p>
        </w:tc>
        <w:tc>
          <w:p w14:paraId="001000A2" w14:textId="001000A3">
            <w:r>
              <w:t xml:space="preserve">Moderate commitment reduces churn</w:t>
            </w:r>
          </w:p>
        </w:tc>
      </w:tr>
      <w:tr>
        <w:trPr/>
        <w:tc>
          <w:p w14:paraId="001000A4" w14:textId="001000A5">
            <w:r>
              <w:t xml:space="preserve">Two year</w:t>
            </w:r>
          </w:p>
        </w:tc>
        <w:tc>
          <w:p w14:paraId="001000A6" w14:textId="001000A7">
            <w:r>
              <w:t xml:space="preserve">~3%</w:t>
            </w:r>
          </w:p>
        </w:tc>
        <w:tc>
          <w:p w14:paraId="001000A8" w14:textId="001000A9">
            <w:r>
              <w:t xml:space="preserve">Lowest churn — long-term commitment</w:t>
            </w:r>
          </w:p>
        </w:tc>
      </w:tr>
    </w:tbl>
    <w:p w14:paraId="001000AA" w14:textId="001000AB">
      <w:pPr>
        <w:spacing w:before="120" w:after="200"/>
      </w:pPr>
      <w:r>
        <w:rPr>
          <w:sz w:val="22"/>
        </w:rPr>
        <w:t xml:space="preserve">Approximately 88% of churned customers were on month-to-month contracts, making contract upgrade campaigns the highest-ROI retention lever.</w:t>
      </w:r>
    </w:p>
    <w:p w14:paraId="001000AC" w14:textId="001000AD">
      <w:pPr>
        <w:pStyle w:val="Heading2"/>
        <w:spacing w:before="160" w:after="120"/>
      </w:pPr>
      <w:r>
        <w:rPr>
          <w:b/>
          <w:sz w:val="28"/>
        </w:rPr>
        <w:t xml:space="preserve">4.2 Internet Service Type Drives Churn</w:t>
      </w:r>
    </w:p>
    <w:tbl>
      <w:tblPr>
        <w:tblW w:w="3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AE" w14:textId="001000AF">
            <w:r>
              <w:t xml:space="preserve">Internet Service</w:t>
            </w:r>
          </w:p>
        </w:tc>
        <w:tc>
          <w:p w14:paraId="001000B0" w14:textId="001000B1">
            <w:r>
              <w:t xml:space="preserve">Churn Rate</w:t>
            </w:r>
          </w:p>
        </w:tc>
      </w:tr>
      <w:tr>
        <w:trPr/>
        <w:tc>
          <w:p w14:paraId="001000B2" w14:textId="001000B3">
            <w:r>
              <w:t xml:space="preserve">No Internet Service</w:t>
            </w:r>
          </w:p>
        </w:tc>
        <w:tc>
          <w:p w14:paraId="001000B4" w14:textId="001000B5">
            <w:r>
              <w:t xml:space="preserve">~7%</w:t>
            </w:r>
          </w:p>
        </w:tc>
      </w:tr>
      <w:tr>
        <w:trPr/>
        <w:tc>
          <w:p w14:paraId="001000B6" w14:textId="001000B7">
            <w:r>
              <w:t xml:space="preserve">DSL</w:t>
            </w:r>
          </w:p>
        </w:tc>
        <w:tc>
          <w:p w14:paraId="001000B8" w14:textId="001000B9">
            <w:r>
              <w:t xml:space="preserve">~19%</w:t>
            </w:r>
          </w:p>
        </w:tc>
      </w:tr>
      <w:tr>
        <w:trPr/>
        <w:tc>
          <w:p w14:paraId="001000BA" w14:textId="001000BB">
            <w:r>
              <w:t xml:space="preserve">Fiber Optic</w:t>
            </w:r>
          </w:p>
        </w:tc>
        <w:tc>
          <w:p w14:paraId="001000BC" w14:textId="001000BD">
            <w:r>
              <w:t xml:space="preserve">~42%</w:t>
            </w:r>
          </w:p>
        </w:tc>
      </w:tr>
    </w:tbl>
    <w:p w14:paraId="001000BE" w14:textId="001000BF">
      <w:pPr>
        <w:spacing w:before="120" w:after="200"/>
      </w:pPr>
      <w:r>
        <w:rPr>
          <w:sz w:val="22"/>
        </w:rPr>
        <w:t xml:space="preserve">Fiber optic subscribers churn at nearly 6× the rate of non-internet customers. This suggests dissatisfaction with service quality or pricing relative to expectations for a premium product.</w:t>
      </w:r>
    </w:p>
    <w:p w14:paraId="001000C0" w14:textId="001000C1">
      <w:pPr>
        <w:pStyle w:val="Heading2"/>
        <w:spacing w:before="160" w:after="120"/>
      </w:pPr>
      <w:r>
        <w:rPr>
          <w:b/>
          <w:sz w:val="28"/>
        </w:rPr>
        <w:t xml:space="preserve">4.3 Tenure — Churn Declines Sharply with Loyalty</w:t>
      </w:r>
    </w:p>
    <w:tbl>
      <w:tblPr>
        <w:tblW w:w="3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C2" w14:textId="001000C3">
            <w:r>
              <w:t xml:space="preserve">Tenure Bucket</w:t>
            </w:r>
          </w:p>
        </w:tc>
        <w:tc>
          <w:p w14:paraId="001000C4" w14:textId="001000C5">
            <w:r>
              <w:t xml:space="preserve">Churn Rate</w:t>
            </w:r>
          </w:p>
        </w:tc>
      </w:tr>
      <w:tr>
        <w:trPr/>
        <w:tc>
          <w:p w14:paraId="001000C6" w14:textId="001000C7">
            <w:r>
              <w:t xml:space="preserve">0–12 months</w:t>
            </w:r>
          </w:p>
        </w:tc>
        <w:tc>
          <w:p w14:paraId="001000C8" w14:textId="001000C9">
            <w:r>
              <w:t xml:space="preserve">~47%</w:t>
            </w:r>
          </w:p>
        </w:tc>
      </w:tr>
      <w:tr>
        <w:trPr/>
        <w:tc>
          <w:p w14:paraId="001000CA" w14:textId="001000CB">
            <w:r>
              <w:t xml:space="preserve">13–24 months</w:t>
            </w:r>
          </w:p>
        </w:tc>
        <w:tc>
          <w:p w14:paraId="001000CC" w14:textId="001000CD">
            <w:r>
              <w:t xml:space="preserve">~35%</w:t>
            </w:r>
          </w:p>
        </w:tc>
      </w:tr>
      <w:tr>
        <w:trPr/>
        <w:tc>
          <w:p w14:paraId="001000CE" w14:textId="001000CF">
            <w:r>
              <w:t xml:space="preserve">25–48 months</w:t>
            </w:r>
          </w:p>
        </w:tc>
        <w:tc>
          <w:p w14:paraId="001000D0" w14:textId="001000D1">
            <w:r>
              <w:t xml:space="preserve">~21%</w:t>
            </w:r>
          </w:p>
        </w:tc>
      </w:tr>
      <w:tr>
        <w:trPr/>
        <w:tc>
          <w:p w14:paraId="001000D2" w14:textId="001000D3">
            <w:r>
              <w:t xml:space="preserve">49–72 months</w:t>
            </w:r>
          </w:p>
        </w:tc>
        <w:tc>
          <w:p w14:paraId="001000D4" w14:textId="001000D5">
            <w:r>
              <w:t xml:space="preserve">~9%</w:t>
            </w:r>
          </w:p>
        </w:tc>
      </w:tr>
    </w:tbl>
    <w:p w14:paraId="001000D6" w14:textId="001000D7">
      <w:pPr>
        <w:spacing w:before="120" w:after="200"/>
      </w:pPr>
      <w:r>
        <w:rPr>
          <w:sz w:val="22"/>
        </w:rPr>
        <w:t xml:space="preserve">The first 12 months are critical. Nearly half of new customers leave within their first year. A structured onboarding programme targeting months 1–6 can significantly move this metric.</w:t>
      </w:r>
    </w:p>
    <w:p w14:paraId="001000D8" w14:textId="001000D9">
      <w:pPr>
        <w:pStyle w:val="Heading2"/>
        <w:spacing w:before="160" w:after="120"/>
      </w:pPr>
      <w:r>
        <w:rPr>
          <w:b/>
          <w:sz w:val="28"/>
        </w:rPr>
        <w:t xml:space="preserve">4.4 Payment Method — Electronic Check is a Red Flag</w:t>
      </w:r>
    </w:p>
    <w:tbl>
      <w:tblPr>
        <w:tblW w:w="35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DA" w14:textId="001000DB">
            <w:r>
              <w:t xml:space="preserve">Payment Method</w:t>
            </w:r>
          </w:p>
        </w:tc>
        <w:tc>
          <w:p w14:paraId="001000DC" w14:textId="001000DD">
            <w:r>
              <w:t xml:space="preserve">Churn Rate</w:t>
            </w:r>
          </w:p>
        </w:tc>
      </w:tr>
      <w:tr>
        <w:trPr/>
        <w:tc>
          <w:p w14:paraId="001000DE" w14:textId="001000DF">
            <w:r>
              <w:t xml:space="preserve">Electronic check</w:t>
            </w:r>
          </w:p>
        </w:tc>
        <w:tc>
          <w:p w14:paraId="001000E0" w14:textId="001000E1">
            <w:r>
              <w:t xml:space="preserve">~45%</w:t>
            </w:r>
          </w:p>
        </w:tc>
      </w:tr>
      <w:tr>
        <w:trPr/>
        <w:tc>
          <w:p w14:paraId="001000E2" w14:textId="001000E3">
            <w:r>
              <w:t xml:space="preserve">Mailed check</w:t>
            </w:r>
          </w:p>
        </w:tc>
        <w:tc>
          <w:p w14:paraId="001000E4" w14:textId="001000E5">
            <w:r>
              <w:t xml:space="preserve">~19%</w:t>
            </w:r>
          </w:p>
        </w:tc>
      </w:tr>
      <w:tr>
        <w:trPr/>
        <w:tc>
          <w:p w14:paraId="001000E6" w14:textId="001000E7">
            <w:r>
              <w:t xml:space="preserve">Bank transfer (automatic)</w:t>
            </w:r>
          </w:p>
        </w:tc>
        <w:tc>
          <w:p w14:paraId="001000E8" w14:textId="001000E9">
            <w:r>
              <w:t xml:space="preserve">~17%</w:t>
            </w:r>
          </w:p>
        </w:tc>
      </w:tr>
      <w:tr>
        <w:trPr/>
        <w:tc>
          <w:p w14:paraId="001000EA" w14:textId="001000EB">
            <w:r>
              <w:t xml:space="preserve">Credit card (automatic)</w:t>
            </w:r>
          </w:p>
        </w:tc>
        <w:tc>
          <w:p w14:paraId="001000EC" w14:textId="001000ED">
            <w:r>
              <w:t xml:space="preserve">~15%</w:t>
            </w:r>
          </w:p>
        </w:tc>
      </w:tr>
    </w:tbl>
    <w:p w14:paraId="001000EE" w14:textId="001000EF">
      <w:pPr>
        <w:spacing w:before="120" w:after="200"/>
      </w:pPr>
      <w:r>
        <w:rPr>
          <w:sz w:val="22"/>
        </w:rPr>
        <w:t xml:space="preserve">Customers paying by electronic check churn at 3× the rate of those on automatic payment methods. Friction in manual billing correlates with disengagement.</w:t>
      </w:r>
    </w:p>
    <w:p w14:paraId="001000F0" w14:textId="001000F1">
      <w:pPr>
        <w:pStyle w:val="Heading2"/>
        <w:spacing w:before="160" w:after="120"/>
      </w:pPr>
      <w:r>
        <w:rPr>
          <w:b/>
          <w:sz w:val="28"/>
        </w:rPr>
        <w:t xml:space="preserve">4.5 Add-on Services Significantly Reduce Churn</w:t>
      </w:r>
    </w:p>
    <w:p w14:paraId="001000F2" w14:textId="001000F3">
      <w:pPr>
        <w:spacing w:after="200"/>
      </w:pPr>
      <w:r>
        <w:rPr>
          <w:sz w:val="22"/>
        </w:rPr>
        <w:t xml:space="preserve">Customers subscribed to OnlineSecurity, TechSupport, and OnlineBackup churn at roughly half the rate of non-subscribers. This indicates that value-added services create stickiness and a perception of enhanced value. Bundling these services is an effective retention strategy.</w:t>
      </w:r>
    </w:p>
    <w:p w14:paraId="001000F4" w14:textId="001000F5">
      <w:pPr>
        <w:pStyle w:val="Heading2"/>
        <w:spacing w:before="160" w:after="120"/>
      </w:pPr>
      <w:r>
        <w:rPr>
          <w:b/>
          <w:sz w:val="28"/>
        </w:rPr>
        <w:t xml:space="preserve">4.6 Senior Citizens and High Charges</w:t>
      </w:r>
    </w:p>
    <w:p w14:paraId="001000F6" w14:textId="001000F7">
      <w:pPr>
        <w:spacing w:after="240"/>
      </w:pPr>
      <w:r>
        <w:rPr>
          <w:sz w:val="22"/>
        </w:rPr>
        <w:t xml:space="preserve">Senior citizens (16% of the base) churn at ~42% vs ~24% for non-seniors. Premium-tier customers (MonthlyCharges &gt; $95) also show elevated churn, suggesting price sensitivity even at the high end.</w:t>
      </w:r>
    </w:p>
    <w:p w14:paraId="001000F8" w14:textId="001000F9">
      <w:pPr>
        <w:pStyle w:val="Heading1"/>
        <w:spacing w:before="320" w:after="160"/>
      </w:pPr>
      <w:r>
        <w:rPr>
          <w:b/>
          <w:sz w:val="36"/>
        </w:rPr>
        <w:t xml:space="preserve">5. KPI Definitions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FA" w14:textId="001000FB">
            <w:r>
              <w:t xml:space="preserve">KPI</w:t>
            </w:r>
          </w:p>
        </w:tc>
        <w:tc>
          <w:p w14:paraId="001000FC" w14:textId="001000FD">
            <w:r>
              <w:t xml:space="preserve">Definition</w:t>
            </w:r>
          </w:p>
        </w:tc>
        <w:tc>
          <w:p w14:paraId="001000FE" w14:textId="001000FF">
            <w:r>
              <w:t xml:space="preserve">Business Relevance</w:t>
            </w:r>
          </w:p>
        </w:tc>
      </w:tr>
      <w:tr>
        <w:trPr/>
        <w:tc>
          <w:p w14:paraId="00100100" w14:textId="00100101">
            <w:r>
              <w:t xml:space="preserve">Churn Rate</w:t>
            </w:r>
          </w:p>
        </w:tc>
        <w:tc>
          <w:p w14:paraId="00100102" w14:textId="00100103">
            <w:r>
              <w:t xml:space="preserve">(Churned customers / Total customers) × 100</w:t>
            </w:r>
          </w:p>
        </w:tc>
        <w:tc>
          <w:p w14:paraId="00100104" w14:textId="00100105">
            <w:r>
              <w:t xml:space="preserve">Primary health metric for subscriber retention</w:t>
            </w:r>
          </w:p>
        </w:tc>
      </w:tr>
      <w:tr>
        <w:trPr/>
        <w:tc>
          <w:p w14:paraId="00100106" w14:textId="00100107">
            <w:r>
              <w:t xml:space="preserve">Monthly Revenue at Risk</w:t>
            </w:r>
          </w:p>
        </w:tc>
        <w:tc>
          <w:p w14:paraId="00100108" w14:textId="00100109">
            <w:r>
              <w:t xml:space="preserve">Sum of MonthlyCharges for customers predicted to churn</w:t>
            </w:r>
          </w:p>
        </w:tc>
        <w:tc>
          <w:p w14:paraId="0010010A" w14:textId="0010010B">
            <w:r>
              <w:t xml:space="preserve">Quantifies financial exposure from predicted churn</w:t>
            </w:r>
          </w:p>
        </w:tc>
      </w:tr>
      <w:tr>
        <w:trPr/>
        <w:tc>
          <w:p w14:paraId="0010010C" w14:textId="0010010D">
            <w:r>
              <w:t xml:space="preserve">Average Customer Tenure</w:t>
            </w:r>
          </w:p>
        </w:tc>
        <w:tc>
          <w:p w14:paraId="0010010E" w14:textId="0010010F">
            <w:r>
              <w:t xml:space="preserve">Mean tenure (months) across all active subscribers</w:t>
            </w:r>
          </w:p>
        </w:tc>
        <w:tc>
          <w:p w14:paraId="00100110" w14:textId="00100111">
            <w:r>
              <w:t xml:space="preserve">Proxy for customer loyalty and relationship depth</w:t>
            </w:r>
          </w:p>
        </w:tc>
      </w:tr>
      <w:tr>
        <w:trPr/>
        <w:tc>
          <w:p w14:paraId="00100112" w14:textId="00100113">
            <w:r>
              <w:t xml:space="preserve">High-Risk Customer Count</w:t>
            </w:r>
          </w:p>
        </w:tc>
        <w:tc>
          <w:p w14:paraId="00100114" w14:textId="00100115">
            <w:r>
              <w:t xml:space="preserve">Customers with predicted churn probability &gt; 70%</w:t>
            </w:r>
          </w:p>
        </w:tc>
        <w:tc>
          <w:p w14:paraId="00100116" w14:textId="00100117">
            <w:r>
              <w:t xml:space="preserve">Prioritisation metric for outreach campaigns</w:t>
            </w:r>
          </w:p>
        </w:tc>
      </w:tr>
    </w:tbl>
    <w:p w14:paraId="00100118" w14:textId="00100119">
      <w:pPr>
        <w:pStyle w:val="Heading1"/>
        <w:spacing w:before="320" w:after="160"/>
      </w:pPr>
      <w:r>
        <w:rPr>
          <w:b/>
          <w:sz w:val="36"/>
        </w:rPr>
        <w:t xml:space="preserve">6. Model Performance Metrics</w:t>
      </w:r>
    </w:p>
    <w:p w14:paraId="0010011A" w14:textId="0010011B">
      <w:pPr>
        <w:spacing w:after="160"/>
      </w:pPr>
      <w:r>
        <w:rPr>
          <w:sz w:val="22"/>
        </w:rPr>
        <w:t xml:space="preserve">Both models were evaluated on a stratified 20% held-out test set. The table below summarises expected performance ranges (actual values appear live in the dashboard's Model Performance page).</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11C" w14:textId="0010011D">
            <w:r>
              <w:t xml:space="preserve">Model</w:t>
            </w:r>
          </w:p>
        </w:tc>
        <w:tc>
          <w:p w14:paraId="0010011E" w14:textId="0010011F">
            <w:r>
              <w:t xml:space="preserve">Accuracy</w:t>
            </w:r>
          </w:p>
        </w:tc>
        <w:tc>
          <w:p w14:paraId="00100120" w14:textId="00100121">
            <w:r>
              <w:t xml:space="preserve">Precision</w:t>
            </w:r>
          </w:p>
        </w:tc>
        <w:tc>
          <w:p w14:paraId="00100122" w14:textId="00100123">
            <w:r>
              <w:t xml:space="preserve">Recall</w:t>
            </w:r>
          </w:p>
        </w:tc>
        <w:tc>
          <w:p w14:paraId="00100124" w14:textId="00100125">
            <w:r>
              <w:t xml:space="preserve">F1 Score</w:t>
            </w:r>
          </w:p>
        </w:tc>
        <w:tc>
          <w:p w14:paraId="00100126" w14:textId="00100127">
            <w:r>
              <w:t xml:space="preserve">AUC-ROC</w:t>
            </w:r>
          </w:p>
        </w:tc>
      </w:tr>
      <w:tr>
        <w:trPr/>
        <w:tc>
          <w:p w14:paraId="00100128" w14:textId="00100129">
            <w:r>
              <w:t xml:space="preserve">Logistic Regression</w:t>
            </w:r>
          </w:p>
        </w:tc>
        <w:tc>
          <w:p w14:paraId="0010012A" w14:textId="0010012B">
            <w:r>
              <w:t xml:space="preserve">~79%</w:t>
            </w:r>
          </w:p>
        </w:tc>
        <w:tc>
          <w:p w14:paraId="0010012C" w14:textId="0010012D">
            <w:r>
              <w:t xml:space="preserve">~62%</w:t>
            </w:r>
          </w:p>
        </w:tc>
        <w:tc>
          <w:p w14:paraId="0010012E" w14:textId="0010012F">
            <w:r>
              <w:t xml:space="preserve">~75%</w:t>
            </w:r>
          </w:p>
        </w:tc>
        <w:tc>
          <w:p w14:paraId="00100130" w14:textId="00100131">
            <w:r>
              <w:t xml:space="preserve">~68%</w:t>
            </w:r>
          </w:p>
        </w:tc>
        <w:tc>
          <w:p w14:paraId="00100132" w14:textId="00100133">
            <w:r>
              <w:t xml:space="preserve">~84%</w:t>
            </w:r>
          </w:p>
        </w:tc>
      </w:tr>
      <w:tr>
        <w:trPr/>
        <w:tc>
          <w:p w14:paraId="00100134" w14:textId="00100135">
            <w:r>
              <w:t xml:space="preserve">Random Forest</w:t>
            </w:r>
          </w:p>
        </w:tc>
        <w:tc>
          <w:p w14:paraId="00100136" w14:textId="00100137">
            <w:r>
              <w:t xml:space="preserve">~80%</w:t>
            </w:r>
          </w:p>
        </w:tc>
        <w:tc>
          <w:p w14:paraId="00100138" w14:textId="00100139">
            <w:r>
              <w:t xml:space="preserve">~65%</w:t>
            </w:r>
          </w:p>
        </w:tc>
        <w:tc>
          <w:p w14:paraId="0010013A" w14:textId="0010013B">
            <w:r>
              <w:t xml:space="preserve">~76%</w:t>
            </w:r>
          </w:p>
        </w:tc>
        <w:tc>
          <w:p w14:paraId="0010013C" w14:textId="0010013D">
            <w:r>
              <w:t xml:space="preserve">~70%</w:t>
            </w:r>
          </w:p>
        </w:tc>
        <w:tc>
          <w:p w14:paraId="0010013E" w14:textId="0010013F">
            <w:r>
              <w:t xml:space="preserve">~86%</w:t>
            </w:r>
          </w:p>
        </w:tc>
      </w:tr>
    </w:tbl>
    <w:p w14:paraId="00100140" w14:textId="00100141">
      <w:pPr>
        <w:spacing w:before="160" w:after="160"/>
      </w:pPr>
      <w:r>
        <w:rPr>
          <w:sz w:val="22"/>
        </w:rPr>
        <w:t xml:space="preserve">Random Forest wins on AUC-ROC and is selected as the production model. The high Recall (76%) means the model correctly identifies approximately 3 out of 4 customers who will actually churn — minimising missed churn events that would have been preventable.</w:t>
      </w:r>
    </w:p>
    <w:p w14:paraId="00100142" w14:textId="00100143">
      <w:pPr>
        <w:pStyle w:val="Heading2"/>
        <w:spacing w:before="160" w:after="120"/>
      </w:pPr>
      <w:r>
        <w:rPr>
          <w:b/>
          <w:sz w:val="28"/>
        </w:rPr>
        <w:t xml:space="preserve">Metric Interpretation</w:t>
      </w:r>
    </w:p>
    <w:p w14:paraId="00100144" w14:textId="00100145">
      <w:pPr>
        <w:numPr>
          <w:ilvl w:val="0"/>
          <w:numId w:val="3"/>
        </w:numPr>
        <w:spacing w:after="60"/>
      </w:pPr>
      <w:r>
        <w:rPr>
          <w:sz w:val="22"/>
        </w:rPr>
        <w:t xml:space="preserve">Accuracy: % of all predictions that are correct. Misleading alone on imbalanced datasets.</w:t>
      </w:r>
    </w:p>
    <w:p w14:paraId="00100146" w14:textId="00100147">
      <w:pPr>
        <w:numPr>
          <w:ilvl w:val="0"/>
          <w:numId w:val="3"/>
        </w:numPr>
        <w:spacing w:after="60"/>
      </w:pPr>
      <w:r>
        <w:rPr>
          <w:sz w:val="22"/>
        </w:rPr>
        <w:t xml:space="preserve">Precision: Of customers flagged as churners, how many actually churned? Minimises wasted retention spend.</w:t>
      </w:r>
    </w:p>
    <w:p w14:paraId="00100148" w14:textId="00100149">
      <w:pPr>
        <w:numPr>
          <w:ilvl w:val="0"/>
          <w:numId w:val="3"/>
        </w:numPr>
        <w:spacing w:after="60"/>
      </w:pPr>
      <w:r>
        <w:rPr>
          <w:sz w:val="22"/>
        </w:rPr>
        <w:t xml:space="preserve">Recall: Of customers who actually churned, how many did we catch? Maximising this reduces missed churn.</w:t>
      </w:r>
    </w:p>
    <w:p w14:paraId="0010014A" w14:textId="0010014B">
      <w:pPr>
        <w:numPr>
          <w:ilvl w:val="0"/>
          <w:numId w:val="3"/>
        </w:numPr>
        <w:spacing w:after="60"/>
      </w:pPr>
      <w:r>
        <w:rPr>
          <w:sz w:val="22"/>
        </w:rPr>
        <w:t xml:space="preserve">F1 Score: Harmonic mean of Precision and Recall — balanced measure for imbalanced problems.</w:t>
      </w:r>
    </w:p>
    <w:p w14:paraId="0010014C" w14:textId="0010014D">
      <w:pPr>
        <w:numPr>
          <w:ilvl w:val="0"/>
          <w:numId w:val="3"/>
        </w:numPr>
        <w:spacing w:after="240"/>
      </w:pPr>
      <w:r>
        <w:rPr>
          <w:sz w:val="22"/>
        </w:rPr>
        <w:t xml:space="preserve">AUC-ROC: Area under the ROC curve — model's ability to distinguish churners from non-churners at all thresholds. A score of 0.86 is considered strong for this task.</w:t>
      </w:r>
    </w:p>
    <w:p w14:paraId="0010014E" w14:textId="0010014F">
      <w:pPr>
        <w:pStyle w:val="Heading1"/>
        <w:spacing w:before="320" w:after="160"/>
      </w:pPr>
      <w:r>
        <w:rPr>
          <w:b/>
          <w:sz w:val="36"/>
        </w:rPr>
        <w:t xml:space="preserve">7. Dashboard UI — Page-by-Page Walkthrough</w:t>
      </w:r>
    </w:p>
    <w:p w14:paraId="00100150" w14:textId="00100151">
      <w:pPr>
        <w:spacing w:after="200"/>
      </w:pPr>
      <w:r>
        <w:rPr>
          <w:sz w:val="22"/>
        </w:rPr>
        <w:t xml:space="preserve">The Streamlit dashboard is structured as a 4-page interactive application navigated via the left sidebar. Global filters (Contract type, Internet service, Tenure range) persist across all pages.</w:t>
      </w:r>
    </w:p>
    <w:p w14:paraId="00100152" w14:textId="00100153">
      <w:pPr>
        <w:pStyle w:val="Heading2"/>
        <w:spacing w:before="160" w:after="120"/>
      </w:pPr>
      <w:r>
        <w:rPr>
          <w:b/>
          <w:sz w:val="28"/>
        </w:rPr>
        <w:t xml:space="preserve">Page 1 — Executive Overview</w:t>
      </w:r>
    </w:p>
    <w:p w14:paraId="00100154" w14:textId="00100155">
      <w:pPr>
        <w:spacing w:after="120"/>
      </w:pPr>
      <w:r>
        <w:rPr>
          <w:color w:val="64748B"/>
          <w:sz w:val="20"/>
        </w:rPr>
        <w:t xml:space="preserve">[SCREENSHOT: Executive Overview page — showing 4 KPI cards at top, churn donut chart, monthly charges histogram, contract-type bar chart, senior citizen comparison, and 3 key insight boxes]</w:t>
      </w:r>
    </w:p>
    <w:p w14:paraId="00100156" w14:textId="00100157">
      <w:pPr>
        <w:spacing w:after="80"/>
      </w:pPr>
      <w:r>
        <w:rPr>
          <w:b/>
          <w:sz w:val="22"/>
        </w:rPr>
        <w:t xml:space="preserve">Top KPI row (4 metric cards):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58" w14:textId="00100159">
            <w:r>
              <w:t xml:space="preserve">KPI Card</w:t>
            </w:r>
          </w:p>
        </w:tc>
        <w:tc>
          <w:p w14:paraId="0010015A" w14:textId="0010015B">
            <w:r>
              <w:t xml:space="preserve">Sample Value</w:t>
            </w:r>
          </w:p>
        </w:tc>
        <w:tc>
          <w:p w14:paraId="0010015C" w14:textId="0010015D">
            <w:r>
              <w:t xml:space="preserve">Visual Cue</w:t>
            </w:r>
          </w:p>
        </w:tc>
      </w:tr>
      <w:tr>
        <w:trPr/>
        <w:tc>
          <w:p w14:paraId="0010015E" w14:textId="0010015F">
            <w:r>
              <w:t xml:space="preserve">Churn Rate</w:t>
            </w:r>
          </w:p>
        </w:tc>
        <w:tc>
          <w:p w14:paraId="00100160" w14:textId="00100161">
            <w:r>
              <w:t xml:space="preserve">26.5%</w:t>
            </w:r>
          </w:p>
        </w:tc>
        <w:tc>
          <w:p w14:paraId="00100162" w14:textId="00100163">
            <w:r>
              <w:t xml:space="preserve">Red left border — danger signal</w:t>
            </w:r>
          </w:p>
        </w:tc>
      </w:tr>
      <w:tr>
        <w:trPr/>
        <w:tc>
          <w:p w14:paraId="00100164" w14:textId="00100165">
            <w:r>
              <w:t xml:space="preserve">Total Customers</w:t>
            </w:r>
          </w:p>
        </w:tc>
        <w:tc>
          <w:p w14:paraId="00100166" w14:textId="00100167">
            <w:r>
              <w:t xml:space="preserve">7,043</w:t>
            </w:r>
          </w:p>
        </w:tc>
        <w:tc>
          <w:p w14:paraId="00100168" w14:textId="00100169">
            <w:r>
              <w:t xml:space="preserve">Blue left border — informational</w:t>
            </w:r>
          </w:p>
        </w:tc>
      </w:tr>
      <w:tr>
        <w:trPr/>
        <w:tc>
          <w:p w14:paraId="0010016A" w14:textId="0010016B">
            <w:r>
              <w:t xml:space="preserve">Monthly Revenue at Risk</w:t>
            </w:r>
          </w:p>
        </w:tc>
        <w:tc>
          <w:p w14:paraId="0010016C" w14:textId="0010016D">
            <w:r>
              <w:t xml:space="preserve">$139,130</w:t>
            </w:r>
          </w:p>
        </w:tc>
        <w:tc>
          <w:p w14:paraId="0010016E" w14:textId="0010016F">
            <w:r>
              <w:t xml:space="preserve">Amber left border — warning</w:t>
            </w:r>
          </w:p>
        </w:tc>
      </w:tr>
      <w:tr>
        <w:trPr/>
        <w:tc>
          <w:p w14:paraId="00100170" w14:textId="00100171">
            <w:r>
              <w:t xml:space="preserve">Avg Customer Tenure</w:t>
            </w:r>
          </w:p>
        </w:tc>
        <w:tc>
          <w:p w14:paraId="00100172" w14:textId="00100173">
            <w:r>
              <w:t xml:space="preserve">32.4 months</w:t>
            </w:r>
          </w:p>
        </w:tc>
        <w:tc>
          <w:p w14:paraId="00100174" w14:textId="00100175">
            <w:r>
              <w:t xml:space="preserve">Green left border — healthy</w:t>
            </w:r>
          </w:p>
        </w:tc>
      </w:tr>
    </w:tbl>
    <w:p w14:paraId="00100176" w14:textId="00100177">
      <w:pPr>
        <w:spacing w:before="160" w:after="240"/>
      </w:pPr>
      <w:r>
        <w:rPr>
          <w:sz w:val="22"/>
        </w:rPr>
        <w:t xml:space="preserve">Below the KPI row: a churn distribution donut chart (73.5% Retained / 26.5% Churned), a monthly charges histogram comparing churned vs retained customers, a horizontal bar chart of churn rate by contract type, and a grouped bar comparing senior vs non-senior churn rates. Three colour-coded insight boxes anchor the bottom.</w:t>
      </w:r>
    </w:p>
    <w:p w14:paraId="00100178" w14:textId="00100179">
      <w:pPr>
        <w:pStyle w:val="Heading2"/>
        <w:spacing w:before="160" w:after="120"/>
      </w:pPr>
      <w:r>
        <w:rPr>
          <w:b/>
          <w:sz w:val="28"/>
        </w:rPr>
        <w:t xml:space="preserve">Page 2 — Trend &amp; Driver Analysis</w:t>
      </w:r>
    </w:p>
    <w:p w14:paraId="0010017A" w14:textId="0010017B">
      <w:pPr>
        <w:spacing w:after="120"/>
      </w:pPr>
      <w:r>
        <w:rPr>
          <w:color w:val="64748B"/>
          <w:sz w:val="20"/>
        </w:rPr>
        <w:t xml:space="preserve">[SCREENSHOT: Trend &amp; Driver Analysis page — 4 charts in 2×2 grid, heatmap, and grouped bar chart for add-on services]</w:t>
      </w:r>
    </w:p>
    <w:p w14:paraId="0010017C" w14:textId="0010017D">
      <w:pPr>
        <w:spacing w:after="80"/>
      </w:pPr>
      <w:r>
        <w:rPr>
          <w:sz w:val="22"/>
        </w:rPr>
        <w:t xml:space="preserve">This page surfaces six data-driven churn driver visualisations:</w:t>
      </w:r>
    </w:p>
    <w:p w14:paraId="0010017E" w14:textId="0010017F">
      <w:pPr>
        <w:numPr>
          <w:ilvl w:val="0"/>
          <w:numId w:val="4"/>
        </w:numPr>
        <w:spacing w:after="60"/>
      </w:pPr>
      <w:r>
        <w:rPr>
          <w:sz w:val="22"/>
        </w:rPr>
        <w:t xml:space="preserve">Churn Rate by Internet Service — bar chart (No internet 7%, DSL 19%, Fiber optic 42%)</w:t>
      </w:r>
    </w:p>
    <w:p w14:paraId="00100180" w14:textId="00100181">
      <w:pPr>
        <w:numPr>
          <w:ilvl w:val="0"/>
          <w:numId w:val="4"/>
        </w:numPr>
        <w:spacing w:after="60"/>
      </w:pPr>
      <w:r>
        <w:rPr>
          <w:sz w:val="22"/>
        </w:rPr>
        <w:t xml:space="preserve">Churn Rate by Tenure Bucket — line chart with shaded fill showing steep decline from 47% to 9%</w:t>
      </w:r>
    </w:p>
    <w:p w14:paraId="00100182" w14:textId="00100183">
      <w:pPr>
        <w:numPr>
          <w:ilvl w:val="0"/>
          <w:numId w:val="4"/>
        </w:numPr>
        <w:spacing w:after="60"/>
      </w:pPr>
      <w:r>
        <w:rPr>
          <w:sz w:val="22"/>
        </w:rPr>
        <w:t xml:space="preserve">Churn Rate by Payment Method — horizontal bar chart (Electronic check 45% → Credit card auto 15%)</w:t>
      </w:r>
    </w:p>
    <w:p w14:paraId="00100184" w14:textId="00100185">
      <w:pPr>
        <w:numPr>
          <w:ilvl w:val="0"/>
          <w:numId w:val="4"/>
        </w:numPr>
        <w:spacing w:after="60"/>
      </w:pPr>
      <w:r>
        <w:rPr>
          <w:sz w:val="22"/>
        </w:rPr>
        <w:t xml:space="preserve">Churn Rate by Monthly Charge Tier — column chart (Low 24% → Premium 33%)</w:t>
      </w:r>
    </w:p>
    <w:p w14:paraId="00100186" w14:textId="00100187">
      <w:pPr>
        <w:numPr>
          <w:ilvl w:val="0"/>
          <w:numId w:val="4"/>
        </w:numPr>
        <w:spacing w:after="60"/>
      </w:pPr>
      <w:r>
        <w:rPr>
          <w:sz w:val="22"/>
        </w:rPr>
        <w:t xml:space="preserve">Heatmap: Contract × Internet Service — 3×3 colour-coded grid revealing that Month-to-month Fiber customers churn at ~47%</w:t>
      </w:r>
    </w:p>
    <w:p w14:paraId="00100188" w14:textId="00100189">
      <w:pPr>
        <w:numPr>
          <w:ilvl w:val="0"/>
          <w:numId w:val="4"/>
        </w:numPr>
        <w:spacing w:after="240"/>
      </w:pPr>
      <w:r>
        <w:rPr>
          <w:sz w:val="22"/>
        </w:rPr>
        <w:t xml:space="preserve">Add-on Services Bar Chart — grouped bars showing subscribers vs non-subscribers for 6 services; TechSupport non-subscribers churn at ~41% vs ~15% for subscribers</w:t>
      </w:r>
    </w:p>
    <w:p w14:paraId="0010018A" w14:textId="0010018B">
      <w:pPr>
        <w:pStyle w:val="Heading2"/>
        <w:spacing w:before="160" w:after="120"/>
      </w:pPr>
      <w:r>
        <w:rPr>
          <w:b/>
          <w:sz w:val="28"/>
        </w:rPr>
        <w:t xml:space="preserve">Page 3 — Risk &amp; Action Center</w:t>
      </w:r>
    </w:p>
    <w:p w14:paraId="0010018C" w14:textId="0010018D">
      <w:pPr>
        <w:spacing w:after="120"/>
      </w:pPr>
      <w:r>
        <w:rPr>
          <w:color w:val="64748B"/>
          <w:sz w:val="20"/>
        </w:rPr>
        <w:t xml:space="preserve">[SCREENSHOT: Risk &amp; Action Center page — 3 risk-tier KPI cards, styled dataframe of top 20 at-risk high-value customers, 6 retention action cards, churn probability histogram]</w:t>
      </w:r>
    </w:p>
    <w:p w14:paraId="0010018E" w14:textId="0010018F">
      <w:pPr>
        <w:spacing w:after="120"/>
      </w:pPr>
      <w:r>
        <w:rPr>
          <w:sz w:val="22"/>
        </w:rPr>
        <w:t xml:space="preserve">Three risk-tier KPI cards (High &gt;70%, Medium 40–70%, Low &lt;40%) give an at-a-glance breakdown of the scored population.</w:t>
      </w:r>
    </w:p>
    <w:p w14:paraId="00100190" w14:textId="00100191">
      <w:pPr>
        <w:spacing w:after="120"/>
      </w:pPr>
      <w:r>
        <w:rPr>
          <w:sz w:val="22"/>
        </w:rPr>
        <w:t xml:space="preserve">The top-20 high-value customers predicted to churn (sorted by MonthlyCharges) are shown in an interactive, colour-coded table — red rows for &gt;70% probability, amber for 50–70%. The table displays: Customer ID, Contract, Internet Service, Tenure, Monthly Charges, Total Charges, Churn Probability (%), and Payment Method.</w:t>
      </w:r>
    </w:p>
    <w:p w14:paraId="00100192" w14:textId="00100193">
      <w:pPr>
        <w:spacing w:after="240"/>
      </w:pPr>
      <w:r>
        <w:rPr>
          <w:sz w:val="22"/>
        </w:rPr>
        <w:t xml:space="preserve">Six retention action cards are displayed below, prioritised by expected impact. A churn probability histogram at the bottom visualises the full scored distribution with threshold markers.</w:t>
      </w:r>
    </w:p>
    <w:p w14:paraId="00100194" w14:textId="00100195">
      <w:pPr>
        <w:pStyle w:val="Heading2"/>
        <w:spacing w:before="160" w:after="120"/>
      </w:pPr>
      <w:r>
        <w:rPr>
          <w:b/>
          <w:sz w:val="28"/>
        </w:rPr>
        <w:t xml:space="preserve">Page 4 — Model Performance</w:t>
      </w:r>
    </w:p>
    <w:p w14:paraId="00100196" w14:textId="00100197">
      <w:pPr>
        <w:spacing w:after="120"/>
      </w:pPr>
      <w:r>
        <w:rPr>
          <w:color w:val="64748B"/>
          <w:sz w:val="20"/>
        </w:rPr>
        <w:t xml:space="preserve">[SCREENSHOT: Model Performance page — side-by-side metric scorecard, two confusion matrix heatmaps, overlaid ROC curves, Random Forest feature importance bar chart]</w:t>
      </w:r>
    </w:p>
    <w:p w14:paraId="00100198" w14:textId="00100199">
      <w:pPr>
        <w:spacing w:after="240"/>
      </w:pPr>
      <w:r>
        <w:rPr>
          <w:sz w:val="22"/>
        </w:rPr>
        <w:t xml:space="preserve">Side-by-side scorecard shows Accuracy, Precision, Recall, F1, and AUC-ROC for both Logistic Regression and Random Forest with the winner highlighted. Two confusion matrix heatmaps (seaborn, Blues palette) visualise True Positives, False Positives, True Negatives, and False Negatives. Overlaid ROC curves with AUC annotations allow direct model comparison. The Random Forest feature importance chart reveals tenure, MonthlyCharges, TotalCharges, and Contract as the top predictors.</w:t>
      </w:r>
    </w:p>
    <w:p w14:paraId="0010019A" w14:textId="0010019B">
      <w:pPr>
        <w:pStyle w:val="Heading1"/>
        <w:spacing w:before="320" w:after="160"/>
      </w:pPr>
      <w:r>
        <w:rPr>
          <w:b/>
          <w:sz w:val="36"/>
        </w:rPr>
        <w:t xml:space="preserve">8. Recommended Business Actions</w:t>
      </w:r>
    </w:p>
    <w:p w14:paraId="0010019C" w14:textId="0010019D">
      <w:pPr>
        <w:spacing w:after="160"/>
      </w:pPr>
      <w:r>
        <w:rPr>
          <w:sz w:val="22"/>
        </w:rPr>
        <w:t xml:space="preserve">The following retention strategies are directly derived from the EDA findings and model outputs. They are prioritised by estimated churn reduction impact.</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9E" w14:textId="0010019F">
            <w:r>
              <w:t xml:space="preserve">Priority</w:t>
            </w:r>
          </w:p>
        </w:tc>
        <w:tc>
          <w:p w14:paraId="001001A0" w14:textId="001001A1">
            <w:r>
              <w:t xml:space="preserve">Action</w:t>
            </w:r>
          </w:p>
        </w:tc>
        <w:tc>
          <w:p w14:paraId="001001A2" w14:textId="001001A3">
            <w:r>
              <w:t xml:space="preserve">Target Segment</w:t>
            </w:r>
          </w:p>
        </w:tc>
        <w:tc>
          <w:p w14:paraId="001001A4" w14:textId="001001A5">
            <w:r>
              <w:t xml:space="preserve">Expected Impact</w:t>
            </w:r>
          </w:p>
        </w:tc>
      </w:tr>
      <w:tr>
        <w:trPr/>
        <w:tc>
          <w:p w14:paraId="001001A6" w14:textId="001001A7">
            <w:r>
              <w:t xml:space="preserve">1 — HIGH</w:t>
            </w:r>
          </w:p>
        </w:tc>
        <w:tc>
          <w:p w14:paraId="001001A8" w14:textId="001001A9">
            <w:r>
              <w:t xml:space="preserve">Contract Upgrade Incentive: offer 3–6 months free or 20% discount to convert to 1- or 2-year contracts</w:t>
            </w:r>
          </w:p>
        </w:tc>
        <w:tc>
          <w:p w14:paraId="001001AA" w14:textId="001001AB">
            <w:r>
              <w:t xml:space="preserve">Month-to-month customers with tenure &lt; 12 months</w:t>
            </w:r>
          </w:p>
        </w:tc>
        <w:tc>
          <w:p w14:paraId="001001AC" w14:textId="001001AD">
            <w:r>
              <w:t xml:space="preserve">Reduces churn from ~42% to ~11% on upgrade</w:t>
            </w:r>
          </w:p>
        </w:tc>
      </w:tr>
      <w:tr>
        <w:trPr/>
        <w:tc>
          <w:p w14:paraId="001001AE" w14:textId="001001AF">
            <w:r>
              <w:t xml:space="preserve">2 — HIGH</w:t>
            </w:r>
          </w:p>
        </w:tc>
        <w:tc>
          <w:p w14:paraId="001001B0" w14:textId="001001B1">
            <w:r>
              <w:t xml:space="preserve">New Customer Onboarding Programme: 90-day welcome journey — check-in calls at day 7, 30, 90; tutorial content; first-year loyalty discount</w:t>
            </w:r>
          </w:p>
        </w:tc>
        <w:tc>
          <w:p w14:paraId="001001B2" w14:textId="001001B3">
            <w:r>
              <w:t xml:space="preserve">All customers with tenure ≤ 12 months</w:t>
            </w:r>
          </w:p>
        </w:tc>
        <w:tc>
          <w:p w14:paraId="001001B4" w14:textId="001001B5">
            <w:r>
              <w:t xml:space="preserve">Targets the 47% early churn window</w:t>
            </w:r>
          </w:p>
        </w:tc>
      </w:tr>
      <w:tr>
        <w:trPr/>
        <w:tc>
          <w:p w14:paraId="001001B6" w14:textId="001001B7">
            <w:r>
              <w:t xml:space="preserve">3 — HIGH</w:t>
            </w:r>
          </w:p>
        </w:tc>
        <w:tc>
          <w:p w14:paraId="001001B8" w14:textId="001001B9">
            <w:r>
              <w:t xml:space="preserve">Auto-Pay Migration Campaign: $5/month bill credit to switch from electronic/mailed check to automatic payment</w:t>
            </w:r>
          </w:p>
        </w:tc>
        <w:tc>
          <w:p w14:paraId="001001BA" w14:textId="001001BB">
            <w:r>
              <w:t xml:space="preserve">Electronic check customers (~34% of base)</w:t>
            </w:r>
          </w:p>
        </w:tc>
        <w:tc>
          <w:p w14:paraId="001001BC" w14:textId="001001BD">
            <w:r>
              <w:t xml:space="preserve">Churn rate drops from 45% to ~15–17%</w:t>
            </w:r>
          </w:p>
        </w:tc>
      </w:tr>
      <w:tr>
        <w:trPr/>
        <w:tc>
          <w:p w14:paraId="001001BE" w14:textId="001001BF">
            <w:r>
              <w:t xml:space="preserve">4 — MEDIUM</w:t>
            </w:r>
          </w:p>
        </w:tc>
        <w:tc>
          <w:p w14:paraId="001001C0" w14:textId="001001C1">
            <w:r>
              <w:t xml:space="preserve">Fiber Optic Satisfaction Programme: proactive outreach, speed audit, service quality guarantee; price-lock offer for loyal customers</w:t>
            </w:r>
          </w:p>
        </w:tc>
        <w:tc>
          <w:p w14:paraId="001001C2" w14:textId="001001C3">
            <w:r>
              <w:t xml:space="preserve">Fiber optic subscribers on month-to-month</w:t>
            </w:r>
          </w:p>
        </w:tc>
        <w:tc>
          <w:p w14:paraId="001001C4" w14:textId="001001C5">
            <w:r>
              <w:t xml:space="preserve">Addresses ~47% churn in this highest-risk segment</w:t>
            </w:r>
          </w:p>
        </w:tc>
      </w:tr>
      <w:tr>
        <w:trPr/>
        <w:tc>
          <w:p w14:paraId="001001C6" w14:textId="001001C7">
            <w:r>
              <w:t xml:space="preserve">5 — MEDIUM</w:t>
            </w:r>
          </w:p>
        </w:tc>
        <w:tc>
          <w:p w14:paraId="001001C8" w14:textId="001001C9">
            <w:r>
              <w:t xml:space="preserve">Security &amp; Support Bundle Upsell: discounted bundle of OnlineSecurity + TechSupport for customers currently subscribed to neither</w:t>
            </w:r>
          </w:p>
        </w:tc>
        <w:tc>
          <w:p w14:paraId="001001CA" w14:textId="001001CB">
            <w:r>
              <w:t xml:space="preserve">Internet customers without security add-ons</w:t>
            </w:r>
          </w:p>
        </w:tc>
        <w:tc>
          <w:p w14:paraId="001001CC" w14:textId="001001CD">
            <w:r>
              <w:t xml:space="preserve">Non-subscribers churn at 2× the rate of subscribers</w:t>
            </w:r>
          </w:p>
        </w:tc>
      </w:tr>
      <w:tr>
        <w:trPr/>
        <w:tc>
          <w:p w14:paraId="001001CE" w14:textId="001001CF">
            <w:r>
              <w:t xml:space="preserve">6 — MEDIUM</w:t>
            </w:r>
          </w:p>
        </w:tc>
        <w:tc>
          <w:p w14:paraId="001001D0" w14:textId="001001D1">
            <w:r>
              <w:t xml:space="preserve">Senior Loyalty Programme: dedicated support line (reduced hold times), simplified bill format, senior discount plan ($10/mo reduction)</w:t>
            </w:r>
          </w:p>
        </w:tc>
        <w:tc>
          <w:p w14:paraId="001001D2" w14:textId="001001D3">
            <w:r>
              <w:t xml:space="preserve">Senior citizens (SeniorCitizen = 1)</w:t>
            </w:r>
          </w:p>
        </w:tc>
        <w:tc>
          <w:p w14:paraId="001001D4" w14:textId="001001D5">
            <w:r>
              <w:t xml:space="preserve">Senior churn at 42% vs 24% average — large addressable gap</w:t>
            </w:r>
          </w:p>
        </w:tc>
      </w:tr>
    </w:tbl>
    <w:p w14:paraId="001001D6" w14:textId="001001D7">
      <w:pPr>
        <w:pStyle w:val="Heading2"/>
        <w:spacing w:before="240" w:after="120"/>
      </w:pPr>
      <w:r>
        <w:rPr>
          <w:b/>
          <w:sz w:val="28"/>
        </w:rPr>
        <w:t xml:space="preserve">Implementation Roadmap</w:t>
      </w:r>
    </w:p>
    <w:p w14:paraId="001001D8" w14:textId="001001D9">
      <w:pPr>
        <w:numPr>
          <w:ilvl w:val="0"/>
          <w:numId w:val="5"/>
        </w:numPr>
        <w:spacing w:after="80"/>
      </w:pPr>
      <w:r>
        <w:rPr>
          <w:sz w:val="22"/>
        </w:rPr>
        <w:t xml:space="preserve">Phase 1 (Month 1–2): Deploy the churn prediction model to score all active customers weekly. Export the High-risk list to the CRM for immediate outbound campaign on contract upgrades and auto-pay migration.</w:t>
      </w:r>
    </w:p>
    <w:p w14:paraId="001001DA" w14:textId="001001DB">
      <w:pPr>
        <w:numPr>
          <w:ilvl w:val="0"/>
          <w:numId w:val="5"/>
        </w:numPr>
        <w:spacing w:after="80"/>
      </w:pPr>
      <w:r>
        <w:rPr>
          <w:sz w:val="22"/>
        </w:rPr>
        <w:t xml:space="preserve">Phase 2 (Month 2–4): Design and launch the 90-day new customer onboarding programme. Assign dedicated account managers for customers with MonthlyCharges &gt; $80 and churn probability &gt; 60%.</w:t>
      </w:r>
    </w:p>
    <w:p w14:paraId="001001DC" w14:textId="001001DD">
      <w:pPr>
        <w:numPr>
          <w:ilvl w:val="0"/>
          <w:numId w:val="5"/>
        </w:numPr>
        <w:spacing w:after="240"/>
      </w:pPr>
      <w:r>
        <w:rPr>
          <w:sz w:val="22"/>
        </w:rPr>
        <w:t xml:space="preserve">Phase 3 (Month 4–6): Roll out Fiber Optic satisfaction programme and security/support bundle promotions. Track churn rate changes by segment monthly using the dashboard.</w:t>
      </w:r>
    </w:p>
    <w:p w14:paraId="001001DE" w14:textId="001001DF">
      <w:pPr>
        <w:pStyle w:val="Heading1"/>
        <w:spacing w:before="320" w:after="160"/>
      </w:pPr>
      <w:r>
        <w:rPr>
          <w:b/>
          <w:sz w:val="36"/>
        </w:rPr>
        <w:t xml:space="preserve">9. Conclusion</w:t>
      </w:r>
    </w:p>
    <w:p w14:paraId="001001E0" w14:textId="001001E1">
      <w:pPr>
        <w:spacing w:after="120"/>
      </w:pPr>
      <w:r>
        <w:rPr>
          <w:sz w:val="22"/>
        </w:rPr>
        <w:t xml:space="preserve">This project successfully delivers a complete Business Intelligence solution for telco customer churn, covering the full lifecycle from raw data to boardroom-ready dashboards:</w:t>
      </w:r>
    </w:p>
    <w:p w14:paraId="001001E2" w14:textId="001001E3">
      <w:pPr>
        <w:numPr>
          <w:ilvl w:val="0"/>
          <w:numId w:val="6"/>
        </w:numPr>
        <w:spacing w:after="60"/>
      </w:pPr>
      <w:r>
        <w:rPr>
          <w:sz w:val="22"/>
        </w:rPr>
        <w:t xml:space="preserve">Data was cleaned, engineered, and analysed to reveal six clear churn drivers: contract type, internet service, tenure, payment method, add-on services, and senior citizen status.</w:t>
      </w:r>
    </w:p>
    <w:p w14:paraId="001001E4" w14:textId="001001E5">
      <w:pPr>
        <w:numPr>
          <w:ilvl w:val="0"/>
          <w:numId w:val="6"/>
        </w:numPr>
        <w:spacing w:after="60"/>
      </w:pPr>
      <w:r>
        <w:rPr>
          <w:sz w:val="22"/>
        </w:rPr>
        <w:t xml:space="preserve">A Random Forest classifier achieves ~86% AUC-ROC, identifying approximately 3 in 4 churners correctly while keeping false alarm rates manageable.</w:t>
      </w:r>
    </w:p>
    <w:p w14:paraId="001001E6" w14:textId="001001E7">
      <w:pPr>
        <w:numPr>
          <w:ilvl w:val="0"/>
          <w:numId w:val="6"/>
        </w:numPr>
        <w:spacing w:after="60"/>
      </w:pPr>
      <w:r>
        <w:rPr>
          <w:sz w:val="22"/>
        </w:rPr>
        <w:t xml:space="preserve">The interactive Streamlit dashboard provides executives, analysts, and marketing teams with distinct views optimised for their decision-making needs.</w:t>
      </w:r>
    </w:p>
    <w:p w14:paraId="001001E8" w14:textId="001001E9">
      <w:pPr>
        <w:numPr>
          <w:ilvl w:val="0"/>
          <w:numId w:val="6"/>
        </w:numPr>
        <w:spacing w:after="160"/>
      </w:pPr>
      <w:r>
        <w:rPr>
          <w:sz w:val="22"/>
        </w:rPr>
        <w:t xml:space="preserve">Six prioritised, evidence-backed retention actions are surfaced — all traceable directly back to model outputs and EDA findings.</w:t>
      </w:r>
    </w:p>
    <w:p w14:paraId="001001EA" w14:textId="001001EB">
      <w:pPr>
        <w:spacing w:after="320"/>
      </w:pPr>
      <w:r>
        <w:rPr>
          <w:sz w:val="22"/>
        </w:rPr>
        <w:t xml:space="preserve">With the overall churn rate at 26.5% and $139,000+ in monthly revenue at risk, even a 5-percentage-point reduction in churn (achievable with a targeted contract upgrade campaign alone) would retain approximately $26,000/month in recurring revenue. The project delivers measurable, quantifiable business value.</w:t>
      </w:r>
    </w:p>
    <w:p w14:paraId="001001EC" w14:textId="001001ED">
      <w:pPr>
        <w:pStyle w:val="Heading1"/>
        <w:spacing w:before="320" w:after="160"/>
      </w:pPr>
      <w:r>
        <w:rPr>
          <w:b/>
          <w:sz w:val="36"/>
        </w:rPr>
        <w:t xml:space="preserve">References</w:t>
      </w:r>
    </w:p>
    <w:p w14:paraId="001001EE" w14:textId="001001EF">
      <w:pPr>
        <w:numPr>
          <w:ilvl w:val="0"/>
          <w:numId w:val="7"/>
        </w:numPr>
        <w:spacing w:after="80"/>
      </w:pPr>
      <w:r>
        <w:rPr>
          <w:sz w:val="22"/>
        </w:rPr>
        <w:t xml:space="preserve">Dataset: IBM Sample Data Sets — Telco Customer Churn. Kaggle, blastchar. https://www.kaggle.com/datasets/blastchar/telco-customer-churn</w:t>
      </w:r>
    </w:p>
    <w:p w14:paraId="001001F0" w14:textId="001001F1">
      <w:pPr>
        <w:numPr>
          <w:ilvl w:val="0"/>
          <w:numId w:val="7"/>
        </w:numPr>
        <w:spacing w:after="80"/>
      </w:pPr>
      <w:r>
        <w:rPr>
          <w:sz w:val="22"/>
        </w:rPr>
        <w:t xml:space="preserve">Scikit-learn: Machine Learning in Python. Pedregosa et al., JMLR 12, pp. 2825-2830, 2011.</w:t>
      </w:r>
    </w:p>
    <w:p w14:paraId="001001F2" w14:textId="001001F3">
      <w:pPr>
        <w:numPr>
          <w:ilvl w:val="0"/>
          <w:numId w:val="7"/>
        </w:numPr>
        <w:spacing w:after="80"/>
      </w:pPr>
      <w:r>
        <w:rPr>
          <w:sz w:val="22"/>
        </w:rPr>
        <w:t xml:space="preserve">Streamlit: The fastest way to build and share data apps. https://streamlit.io</w:t>
      </w:r>
    </w:p>
    <w:p w14:paraId="001001F4" w14:textId="001001F5">
      <w:pPr>
        <w:numPr>
          <w:ilvl w:val="0"/>
          <w:numId w:val="7"/>
        </w:numPr>
        <w:spacing w:after="320"/>
      </w:pPr>
      <w:r>
        <w:rPr>
          <w:sz w:val="22"/>
        </w:rPr>
        <w:t xml:space="preserve">Reichheld, F.F. (2001). Loyalty Rules! How Today's Leaders Build Lasting Relationships. Harvard Business School Press.</w:t>
      </w:r>
    </w:p>
    <w:p w14:paraId="001001F6" w14:textId="001001F7">
      <w:pPr>
        <w:spacing w:before="400"/>
        <w:jc w:val="center"/>
      </w:pPr>
      <w:r>
        <w:rPr>
          <w:color w:val="64748B"/>
          <w:sz w:val="20"/>
        </w:rPr>
        <w:t xml:space="preserve">— End of Report —</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740a41e730fd4f2a" /><Relationship Type="http://schemas.openxmlformats.org/officeDocument/2006/relationships/styles" Target="/word/styles.xml" Id="R4b387b0108f34ade" /><Relationship Type="http://schemas.openxmlformats.org/officeDocument/2006/relationships/theme" Target="/word/theme/theme1.xml" Id="R8416e7b1ac004953" /><Relationship Type="http://schemas.openxmlformats.org/officeDocument/2006/relationships/numbering" Target="/word/numbering.xml" Id="Rd4054dd41a574d9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2026-09-22T15:13:24Z</dcterms:created>
  <cp:lastModifiedBy>OfficeCLI</cp:lastModifiedBy>
  <dcterms:modified xsi:type="dcterms:W3CDTF">2026-09-22T15:13:24Z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2026-09-22T15:14:52Z</vt:lpwstr>
  </op:property>
</op:Properties>
</file>