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088" w:rsidRPr="008C2F65" w:rsidRDefault="0031743B">
      <w:pPr>
        <w:pStyle w:val="Title"/>
        <w:rPr>
          <w:rFonts w:ascii="Times New Roman" w:hAnsi="Times New Roman" w:cs="Times New Roman"/>
          <w:sz w:val="40"/>
          <w:szCs w:val="40"/>
        </w:rPr>
      </w:pPr>
      <w:r w:rsidRPr="008C2F65">
        <w:rPr>
          <w:rFonts w:ascii="Times New Roman" w:hAnsi="Times New Roman" w:cs="Times New Roman"/>
          <w:sz w:val="40"/>
          <w:szCs w:val="40"/>
        </w:rPr>
        <w:t>Urban Heat Island Intensity Analysis of Kolkata (2015–2025)</w:t>
      </w:r>
    </w:p>
    <w:p w:rsidR="005C6088" w:rsidRPr="008C2F65" w:rsidRDefault="0031743B">
      <w:pPr>
        <w:rPr>
          <w:rFonts w:cs="Times New Roman"/>
          <w:sz w:val="40"/>
          <w:szCs w:val="40"/>
        </w:rPr>
      </w:pPr>
      <w:r w:rsidRPr="008C2F65">
        <w:rPr>
          <w:rFonts w:cs="Times New Roman"/>
          <w:sz w:val="40"/>
          <w:szCs w:val="40"/>
        </w:rPr>
        <w:t>Shruti Chatterjee</w:t>
      </w:r>
    </w:p>
    <w:p w:rsidR="005C6088" w:rsidRPr="008C2F65" w:rsidRDefault="0031743B">
      <w:pPr>
        <w:rPr>
          <w:rFonts w:cs="Times New Roman"/>
          <w:sz w:val="40"/>
          <w:szCs w:val="40"/>
        </w:rPr>
      </w:pPr>
      <w:r w:rsidRPr="008C2F65">
        <w:rPr>
          <w:rFonts w:cs="Times New Roman"/>
          <w:sz w:val="40"/>
          <w:szCs w:val="40"/>
        </w:rPr>
        <w:t>Department of Geography (Independent Research Project)</w:t>
      </w:r>
    </w:p>
    <w:p w:rsidR="005C6088" w:rsidRPr="008C2F65" w:rsidRDefault="0031743B">
      <w:pPr>
        <w:rPr>
          <w:rFonts w:cs="Times New Roman"/>
          <w:sz w:val="40"/>
          <w:szCs w:val="40"/>
        </w:rPr>
      </w:pPr>
      <w:r w:rsidRPr="008C2F65">
        <w:rPr>
          <w:rFonts w:cs="Times New Roman"/>
          <w:sz w:val="40"/>
          <w:szCs w:val="40"/>
        </w:rPr>
        <w:br w:type="page"/>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ABSTRACT</w:t>
      </w:r>
    </w:p>
    <w:p w:rsidR="005C6088" w:rsidRPr="008C2F65" w:rsidRDefault="0031743B">
      <w:pPr>
        <w:rPr>
          <w:rFonts w:cs="Times New Roman"/>
          <w:szCs w:val="24"/>
        </w:rPr>
      </w:pPr>
      <w:r w:rsidRPr="008C2F65">
        <w:rPr>
          <w:rFonts w:cs="Times New Roman"/>
          <w:szCs w:val="24"/>
        </w:rPr>
        <w:t>This study analyzes the temporal variation and intensity change of Urban Heat Islands (UHIs) in Kolkata over a decade, from 2015 to 2025, using satellite-derived Land Surface Temperature (LST) data. Landsat 8 (2015) and Landsat 9 (2025) thermal bands were processed in QGIS to derive LST and assess spatial patterns of surface temperature. A change detection analysis identified areas of significant warming across the city, with temperature increases of up to approximately 6°C observed in the central and eastern u</w:t>
      </w:r>
      <w:r w:rsidRPr="008C2F65">
        <w:rPr>
          <w:rFonts w:cs="Times New Roman"/>
          <w:szCs w:val="24"/>
        </w:rPr>
        <w:t>r</w:t>
      </w:r>
      <w:r w:rsidRPr="008C2F65">
        <w:rPr>
          <w:rFonts w:cs="Times New Roman"/>
          <w:szCs w:val="24"/>
        </w:rPr>
        <w:t xml:space="preserve">ban sectors. Mean surface temperature rose by </w:t>
      </w:r>
      <w:proofErr w:type="gramStart"/>
      <w:r w:rsidRPr="008C2F65">
        <w:rPr>
          <w:rFonts w:cs="Times New Roman"/>
          <w:szCs w:val="24"/>
        </w:rPr>
        <w:t>2.57°C,</w:t>
      </w:r>
      <w:proofErr w:type="gramEnd"/>
      <w:r w:rsidRPr="008C2F65">
        <w:rPr>
          <w:rFonts w:cs="Times New Roman"/>
          <w:szCs w:val="24"/>
        </w:rPr>
        <w:t xml:space="preserve"> and the area under high to very high UHI zones expanded by about 13.7%. These findings highlight the growing thermal stress associated with rapid urban expansion in Kolkata and underscore the need for su</w:t>
      </w:r>
      <w:r w:rsidRPr="008C2F65">
        <w:rPr>
          <w:rFonts w:cs="Times New Roman"/>
          <w:szCs w:val="24"/>
        </w:rPr>
        <w:t>s</w:t>
      </w:r>
      <w:r w:rsidRPr="008C2F65">
        <w:rPr>
          <w:rFonts w:cs="Times New Roman"/>
          <w:szCs w:val="24"/>
        </w:rPr>
        <w:t>tainable planning measures such as vegetation enhancement, cool roofing, and wetland preservation to mitigate future heat effects.</w:t>
      </w:r>
    </w:p>
    <w:p w:rsidR="005C6088" w:rsidRPr="008C2F65" w:rsidRDefault="0031743B">
      <w:pPr>
        <w:rPr>
          <w:rFonts w:cs="Times New Roman"/>
          <w:szCs w:val="24"/>
        </w:rPr>
      </w:pPr>
      <w:r w:rsidRPr="008C2F65">
        <w:rPr>
          <w:rFonts w:cs="Times New Roman"/>
          <w:szCs w:val="24"/>
        </w:rPr>
        <w:t>Keywords: Urban Heat Island, Land Surface Temperature, Kolkata, Remote Sensing, QGIS, Sustainable Urban Planning</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1. INTRODUCTION</w:t>
      </w:r>
    </w:p>
    <w:p w:rsidR="005C6088" w:rsidRPr="008C2F65" w:rsidRDefault="0031743B">
      <w:pPr>
        <w:rPr>
          <w:rFonts w:cs="Times New Roman"/>
          <w:szCs w:val="24"/>
        </w:rPr>
      </w:pPr>
      <w:r w:rsidRPr="008C2F65">
        <w:rPr>
          <w:rFonts w:cs="Times New Roman"/>
          <w:szCs w:val="24"/>
        </w:rPr>
        <w:t>Urban Heat Island (UHI) refers to the phenomenon where built-up city areas exhibit higher surface and air temperatures than their rural surroundings due to impervious su</w:t>
      </w:r>
      <w:r w:rsidRPr="008C2F65">
        <w:rPr>
          <w:rFonts w:cs="Times New Roman"/>
          <w:szCs w:val="24"/>
        </w:rPr>
        <w:t>r</w:t>
      </w:r>
      <w:r w:rsidRPr="008C2F65">
        <w:rPr>
          <w:rFonts w:cs="Times New Roman"/>
          <w:szCs w:val="24"/>
        </w:rPr>
        <w:t>faces, limited vegetation, and anthropogenic heat release. Kolkata, a major metropolitan city in eastern India, has undergone rapid urbanization in the last decade, resulting in si</w:t>
      </w:r>
      <w:r w:rsidRPr="008C2F65">
        <w:rPr>
          <w:rFonts w:cs="Times New Roman"/>
          <w:szCs w:val="24"/>
        </w:rPr>
        <w:t>g</w:t>
      </w:r>
      <w:r w:rsidRPr="008C2F65">
        <w:rPr>
          <w:rFonts w:cs="Times New Roman"/>
          <w:szCs w:val="24"/>
        </w:rPr>
        <w:t>nificant alterations to its surface energy balance. Monitoring UHI intensity helps in u</w:t>
      </w:r>
      <w:r w:rsidRPr="008C2F65">
        <w:rPr>
          <w:rFonts w:cs="Times New Roman"/>
          <w:szCs w:val="24"/>
        </w:rPr>
        <w:t>n</w:t>
      </w:r>
      <w:r w:rsidRPr="008C2F65">
        <w:rPr>
          <w:rFonts w:cs="Times New Roman"/>
          <w:szCs w:val="24"/>
        </w:rPr>
        <w:t>derstanding the relationship between urban growth and climate variability.</w:t>
      </w:r>
    </w:p>
    <w:p w:rsidR="005C6088" w:rsidRPr="008C2F65" w:rsidRDefault="0031743B">
      <w:pPr>
        <w:rPr>
          <w:rFonts w:cs="Times New Roman"/>
          <w:szCs w:val="24"/>
        </w:rPr>
      </w:pPr>
      <w:r w:rsidRPr="008C2F65">
        <w:rPr>
          <w:rFonts w:cs="Times New Roman"/>
          <w:szCs w:val="24"/>
        </w:rPr>
        <w:t>Previous studies across Indian cities such as Delhi, Mumbai, and Hyderabad have shown similar thermal intensification trends, yet few have examined Kolkata's decadal dynamics using consistent Landsat datasets. This study bridges that gap by analyzing temporal changes in LST between 2015 and 2025 and correlating them with urban expansion pa</w:t>
      </w:r>
      <w:r w:rsidRPr="008C2F65">
        <w:rPr>
          <w:rFonts w:cs="Times New Roman"/>
          <w:szCs w:val="24"/>
        </w:rPr>
        <w:t>t</w:t>
      </w:r>
      <w:r w:rsidRPr="008C2F65">
        <w:rPr>
          <w:rFonts w:cs="Times New Roman"/>
          <w:szCs w:val="24"/>
        </w:rPr>
        <w:t>terns.</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2. STUDY AREA AND DATA</w:t>
      </w:r>
    </w:p>
    <w:p w:rsidR="005C6088" w:rsidRPr="008C2F65" w:rsidRDefault="0031743B">
      <w:pPr>
        <w:rPr>
          <w:rFonts w:cs="Times New Roman"/>
          <w:szCs w:val="24"/>
        </w:rPr>
      </w:pPr>
      <w:r w:rsidRPr="008C2F65">
        <w:rPr>
          <w:rFonts w:cs="Times New Roman"/>
          <w:szCs w:val="24"/>
        </w:rPr>
        <w:t>Kolkata, located along the eastern bank of the Hooghly River, lies between latitudes 22°31′N to 22°57′N and longitudes 88°17′E to 88°25′E. It is characterized by a tropical wet-and-dry climate with distinct pre-monsoon heat waves. Rapid population growth and industrialization have led to an increase in impervious surfaces. The study utilizes Lan</w:t>
      </w:r>
      <w:r w:rsidRPr="008C2F65">
        <w:rPr>
          <w:rFonts w:cs="Times New Roman"/>
          <w:szCs w:val="24"/>
        </w:rPr>
        <w:t>d</w:t>
      </w:r>
      <w:r w:rsidRPr="008C2F65">
        <w:rPr>
          <w:rFonts w:cs="Times New Roman"/>
          <w:szCs w:val="24"/>
        </w:rPr>
        <w:t xml:space="preserve">sat 8 and 9 imagery for the years 2015 and 2025 respectively, both sourced from the </w:t>
      </w:r>
      <w:proofErr w:type="gramStart"/>
      <w:r w:rsidRPr="008C2F65">
        <w:rPr>
          <w:rFonts w:cs="Times New Roman"/>
          <w:szCs w:val="24"/>
        </w:rPr>
        <w:t xml:space="preserve">USGS </w:t>
      </w:r>
      <w:r w:rsidR="00707B0C">
        <w:rPr>
          <w:rFonts w:cs="Times New Roman"/>
          <w:szCs w:val="24"/>
        </w:rPr>
        <w:t xml:space="preserve"> </w:t>
      </w:r>
      <w:r w:rsidRPr="008C2F65">
        <w:rPr>
          <w:rFonts w:cs="Times New Roman"/>
          <w:szCs w:val="24"/>
        </w:rPr>
        <w:t>Earth</w:t>
      </w:r>
      <w:proofErr w:type="gramEnd"/>
      <w:r w:rsidRPr="008C2F65">
        <w:rPr>
          <w:rFonts w:cs="Times New Roman"/>
          <w:szCs w:val="24"/>
        </w:rPr>
        <w:t xml:space="preserve"> Explorer portal.</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3. METHODOLOGY</w:t>
      </w:r>
    </w:p>
    <w:p w:rsidR="006C4AD6" w:rsidRPr="008C2F65" w:rsidRDefault="0031743B">
      <w:pPr>
        <w:rPr>
          <w:rFonts w:cs="Times New Roman"/>
          <w:szCs w:val="24"/>
        </w:rPr>
      </w:pPr>
      <w:r w:rsidRPr="008C2F65">
        <w:rPr>
          <w:rFonts w:cs="Times New Roman"/>
          <w:szCs w:val="24"/>
        </w:rPr>
        <w:t>The study followed a remote sensing and GIS-based workflow including data acquisition, preprocessing, LST derivation, UHI classification, and change detection. Radiometric and atmospheric corrections were applied, followed by conversion of digital numbers (DN) to top-of-atmosphere radiance and brightness temperature. Land Surface Temper</w:t>
      </w:r>
      <w:r w:rsidRPr="008C2F65">
        <w:rPr>
          <w:rFonts w:cs="Times New Roman"/>
          <w:szCs w:val="24"/>
        </w:rPr>
        <w:t>a</w:t>
      </w:r>
      <w:r w:rsidRPr="008C2F65">
        <w:rPr>
          <w:rFonts w:cs="Times New Roman"/>
          <w:szCs w:val="24"/>
        </w:rPr>
        <w:t>ture (LST) was calculated using emissivity-corr</w:t>
      </w:r>
      <w:r w:rsidR="006C4AD6" w:rsidRPr="008C2F65">
        <w:rPr>
          <w:rFonts w:cs="Times New Roman"/>
          <w:szCs w:val="24"/>
        </w:rPr>
        <w:t>ected equations within QGIS 3.40</w:t>
      </w:r>
      <w:r w:rsidRPr="008C2F65">
        <w:rPr>
          <w:rFonts w:cs="Times New Roman"/>
          <w:szCs w:val="24"/>
        </w:rPr>
        <w:t>. The resulting maps were classified into five UHI intensity levels</w:t>
      </w:r>
    </w:p>
    <w:p w:rsidR="005C6088" w:rsidRPr="008C2F65" w:rsidRDefault="0031743B" w:rsidP="001F1085">
      <w:pPr>
        <w:jc w:val="center"/>
        <w:rPr>
          <w:rFonts w:cs="Times New Roman"/>
          <w:sz w:val="40"/>
          <w:szCs w:val="40"/>
        </w:rPr>
      </w:pPr>
      <w:r w:rsidRPr="008C2F65">
        <w:rPr>
          <w:rFonts w:cs="Times New Roman"/>
          <w:sz w:val="40"/>
          <w:szCs w:val="40"/>
        </w:rPr>
        <w:t>.</w:t>
      </w:r>
      <w:r w:rsidR="001F1085" w:rsidRPr="008C2F65">
        <w:rPr>
          <w:rFonts w:cs="Times New Roman"/>
          <w:noProof/>
          <w:sz w:val="40"/>
          <w:szCs w:val="40"/>
        </w:rPr>
        <w:t xml:space="preserve"> </w:t>
      </w:r>
      <w:r w:rsidR="001F1085" w:rsidRPr="008C2F65">
        <w:rPr>
          <w:rFonts w:cs="Times New Roman"/>
          <w:noProof/>
          <w:sz w:val="40"/>
          <w:szCs w:val="40"/>
        </w:rPr>
        <w:drawing>
          <wp:inline distT="0" distB="0" distL="0" distR="0">
            <wp:extent cx="2790825" cy="2162175"/>
            <wp:effectExtent l="38100" t="57150" r="123825" b="104775"/>
            <wp:docPr id="2" name="Picture 0" descr="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2790825" cy="216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6088" w:rsidRPr="008C2F65" w:rsidRDefault="0031743B" w:rsidP="001F1085">
      <w:pPr>
        <w:jc w:val="center"/>
        <w:rPr>
          <w:rFonts w:cs="Times New Roman"/>
          <w:b/>
          <w:sz w:val="28"/>
          <w:szCs w:val="28"/>
        </w:rPr>
      </w:pPr>
      <w:r w:rsidRPr="008C2F65">
        <w:rPr>
          <w:rFonts w:cs="Times New Roman"/>
          <w:b/>
          <w:sz w:val="28"/>
          <w:szCs w:val="28"/>
        </w:rPr>
        <w:t>Workflow Diagram for UHI Analysis</w:t>
      </w:r>
    </w:p>
    <w:p w:rsidR="00212B50" w:rsidRDefault="0031743B">
      <w:pPr>
        <w:rPr>
          <w:rFonts w:cs="Times New Roman"/>
          <w:szCs w:val="24"/>
        </w:rPr>
      </w:pPr>
      <w:r w:rsidRPr="008C2F65">
        <w:rPr>
          <w:rFonts w:cs="Times New Roman"/>
          <w:szCs w:val="24"/>
        </w:rPr>
        <w:t>Tables 1–6 summarize the satellite data, temperature statistics, UHI classification, spatial distribution, mitigation strategies, and decadal temperature changes.</w:t>
      </w:r>
    </w:p>
    <w:p w:rsidR="00212B50" w:rsidRDefault="00212B50">
      <w:pPr>
        <w:rPr>
          <w:rFonts w:cs="Times New Roman"/>
          <w:szCs w:val="24"/>
        </w:rPr>
      </w:pPr>
      <w:r>
        <w:rPr>
          <w:rFonts w:cs="Times New Roman"/>
          <w:szCs w:val="24"/>
        </w:rPr>
        <w:br w:type="page"/>
      </w:r>
    </w:p>
    <w:p w:rsidR="00212B50" w:rsidRDefault="00212B50">
      <w:pPr>
        <w:rPr>
          <w:rFonts w:cs="Times New Roman"/>
          <w:szCs w:val="24"/>
        </w:rPr>
      </w:pPr>
      <w:r>
        <w:rPr>
          <w:rFonts w:cs="Times New Roman"/>
          <w:noProof/>
          <w:szCs w:val="24"/>
        </w:rPr>
        <w:lastRenderedPageBreak/>
        <w:drawing>
          <wp:inline distT="0" distB="0" distL="0" distR="0">
            <wp:extent cx="5486400" cy="7758430"/>
            <wp:effectExtent l="19050" t="0" r="0" b="0"/>
            <wp:docPr id="4" name="Picture 3" descr="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png"/>
                    <pic:cNvPicPr/>
                  </pic:nvPicPr>
                  <pic:blipFill>
                    <a:blip r:embed="rId7"/>
                    <a:stretch>
                      <a:fillRect/>
                    </a:stretch>
                  </pic:blipFill>
                  <pic:spPr>
                    <a:xfrm>
                      <a:off x="0" y="0"/>
                      <a:ext cx="5486400" cy="7758430"/>
                    </a:xfrm>
                    <a:prstGeom prst="rect">
                      <a:avLst/>
                    </a:prstGeom>
                  </pic:spPr>
                </pic:pic>
              </a:graphicData>
            </a:graphic>
          </wp:inline>
        </w:drawing>
      </w:r>
    </w:p>
    <w:p w:rsidR="00212B50" w:rsidRDefault="00212B50">
      <w:pPr>
        <w:rPr>
          <w:rFonts w:cs="Times New Roman"/>
          <w:szCs w:val="24"/>
        </w:rPr>
      </w:pPr>
    </w:p>
    <w:p w:rsidR="00212B50" w:rsidRDefault="00212B50">
      <w:pPr>
        <w:rPr>
          <w:rFonts w:cs="Times New Roman"/>
          <w:szCs w:val="24"/>
        </w:rPr>
      </w:pPr>
      <w:r>
        <w:rPr>
          <w:rFonts w:cs="Times New Roman"/>
          <w:noProof/>
          <w:szCs w:val="24"/>
        </w:rPr>
        <w:lastRenderedPageBreak/>
        <w:drawing>
          <wp:inline distT="0" distB="0" distL="0" distR="0">
            <wp:extent cx="5486400" cy="7758430"/>
            <wp:effectExtent l="19050" t="0" r="0" b="0"/>
            <wp:docPr id="5" name="Picture 4" descr="2025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 map.png"/>
                    <pic:cNvPicPr/>
                  </pic:nvPicPr>
                  <pic:blipFill>
                    <a:blip r:embed="rId8"/>
                    <a:stretch>
                      <a:fillRect/>
                    </a:stretch>
                  </pic:blipFill>
                  <pic:spPr>
                    <a:xfrm>
                      <a:off x="0" y="0"/>
                      <a:ext cx="5486400" cy="7758430"/>
                    </a:xfrm>
                    <a:prstGeom prst="rect">
                      <a:avLst/>
                    </a:prstGeom>
                  </pic:spPr>
                </pic:pic>
              </a:graphicData>
            </a:graphic>
          </wp:inline>
        </w:drawing>
      </w:r>
      <w:r>
        <w:rPr>
          <w:rFonts w:cs="Times New Roman"/>
          <w:szCs w:val="24"/>
        </w:rPr>
        <w:br w:type="page"/>
      </w:r>
    </w:p>
    <w:p w:rsidR="005C6088" w:rsidRPr="008C2F65" w:rsidRDefault="00212B50">
      <w:pPr>
        <w:rPr>
          <w:rFonts w:cs="Times New Roman"/>
          <w:szCs w:val="24"/>
        </w:rPr>
      </w:pPr>
      <w:r>
        <w:rPr>
          <w:rFonts w:cs="Times New Roman"/>
          <w:noProof/>
          <w:szCs w:val="24"/>
        </w:rPr>
        <w:lastRenderedPageBreak/>
        <w:drawing>
          <wp:inline distT="0" distB="0" distL="0" distR="0">
            <wp:extent cx="6172200" cy="8096250"/>
            <wp:effectExtent l="19050" t="0" r="0" b="0"/>
            <wp:docPr id="3" name="Picture 2" descr="change 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detection.png"/>
                    <pic:cNvPicPr/>
                  </pic:nvPicPr>
                  <pic:blipFill>
                    <a:blip r:embed="rId9"/>
                    <a:stretch>
                      <a:fillRect/>
                    </a:stretch>
                  </pic:blipFill>
                  <pic:spPr>
                    <a:xfrm>
                      <a:off x="0" y="0"/>
                      <a:ext cx="6172200" cy="8096250"/>
                    </a:xfrm>
                    <a:prstGeom prst="rect">
                      <a:avLst/>
                    </a:prstGeom>
                  </pic:spPr>
                </pic:pic>
              </a:graphicData>
            </a:graphic>
          </wp:inline>
        </w:drawing>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4. RESULTS AND DISCUSSION</w:t>
      </w:r>
    </w:p>
    <w:p w:rsidR="005C6088" w:rsidRPr="008C2F65" w:rsidRDefault="0031743B">
      <w:pPr>
        <w:rPr>
          <w:rFonts w:cs="Times New Roman"/>
          <w:szCs w:val="24"/>
        </w:rPr>
      </w:pPr>
      <w:r w:rsidRPr="008C2F65">
        <w:rPr>
          <w:rFonts w:cs="Times New Roman"/>
          <w:szCs w:val="24"/>
        </w:rPr>
        <w:t>The UHI map of 2015 reveals a spatial LST variation between 28.38°C and 46.75°C, while the 2025 map shows a range between 28.56°C and 50.52°C. High-temperature zones are concentrated in the core and eastern sectors of the city. Change detection ind</w:t>
      </w:r>
      <w:r w:rsidRPr="008C2F65">
        <w:rPr>
          <w:rFonts w:cs="Times New Roman"/>
          <w:szCs w:val="24"/>
        </w:rPr>
        <w:t>i</w:t>
      </w:r>
      <w:r w:rsidRPr="008C2F65">
        <w:rPr>
          <w:rFonts w:cs="Times New Roman"/>
          <w:szCs w:val="24"/>
        </w:rPr>
        <w:t>cates an average surface temperature increase of 2.57°C, with substantial expansion in high-intensity heat zones.</w:t>
      </w:r>
    </w:p>
    <w:tbl>
      <w:tblPr>
        <w:tblStyle w:val="TableGrid"/>
        <w:tblW w:w="9832" w:type="dxa"/>
        <w:tblLook w:val="04A0"/>
      </w:tblPr>
      <w:tblGrid>
        <w:gridCol w:w="723"/>
        <w:gridCol w:w="1121"/>
        <w:gridCol w:w="928"/>
        <w:gridCol w:w="1230"/>
        <w:gridCol w:w="1761"/>
        <w:gridCol w:w="2152"/>
        <w:gridCol w:w="1917"/>
      </w:tblGrid>
      <w:tr w:rsidR="00AD59C9" w:rsidRPr="008C2F65" w:rsidTr="00783B07">
        <w:trPr>
          <w:trHeight w:val="663"/>
        </w:trPr>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Year</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Satellite</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Sensor</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Path/Row</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Acquisition Date</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Spatial Resolution (m)</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Thermal Band Used</w:t>
            </w:r>
          </w:p>
        </w:tc>
      </w:tr>
      <w:tr w:rsidR="00AD59C9" w:rsidRPr="008C2F65" w:rsidTr="00783B07">
        <w:trPr>
          <w:trHeight w:val="663"/>
        </w:trPr>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2015</w:t>
            </w:r>
          </w:p>
        </w:tc>
        <w:tc>
          <w:tcPr>
            <w:tcW w:w="0" w:type="auto"/>
            <w:hideMark/>
          </w:tcPr>
          <w:p w:rsidR="00AD59C9" w:rsidRPr="008C2F65" w:rsidRDefault="00AD59C9" w:rsidP="00AD59C9">
            <w:pPr>
              <w:rPr>
                <w:rFonts w:eastAsia="Times New Roman" w:cs="Times New Roman"/>
                <w:sz w:val="24"/>
                <w:szCs w:val="24"/>
              </w:rPr>
            </w:pPr>
            <w:proofErr w:type="spellStart"/>
            <w:r w:rsidRPr="008C2F65">
              <w:rPr>
                <w:rFonts w:eastAsia="Times New Roman" w:cs="Times New Roman"/>
                <w:sz w:val="24"/>
                <w:szCs w:val="24"/>
              </w:rPr>
              <w:t>Landsat</w:t>
            </w:r>
            <w:proofErr w:type="spellEnd"/>
            <w:r w:rsidRPr="008C2F65">
              <w:rPr>
                <w:rFonts w:eastAsia="Times New Roman" w:cs="Times New Roman"/>
                <w:sz w:val="24"/>
                <w:szCs w:val="24"/>
              </w:rPr>
              <w:t xml:space="preserve"> 8</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TIRS</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138/44</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May 2015</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30 (</w:t>
            </w:r>
            <w:proofErr w:type="spellStart"/>
            <w:r w:rsidRPr="008C2F65">
              <w:rPr>
                <w:rFonts w:eastAsia="Times New Roman" w:cs="Times New Roman"/>
                <w:sz w:val="24"/>
                <w:szCs w:val="24"/>
              </w:rPr>
              <w:t>resampled</w:t>
            </w:r>
            <w:proofErr w:type="spellEnd"/>
            <w:r w:rsidRPr="008C2F65">
              <w:rPr>
                <w:rFonts w:eastAsia="Times New Roman" w:cs="Times New Roman"/>
                <w:sz w:val="24"/>
                <w:szCs w:val="24"/>
              </w:rPr>
              <w:t>)</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Band 10</w:t>
            </w:r>
          </w:p>
        </w:tc>
      </w:tr>
      <w:tr w:rsidR="00AD59C9" w:rsidRPr="008C2F65" w:rsidTr="00783B07">
        <w:trPr>
          <w:trHeight w:val="663"/>
        </w:trPr>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2025</w:t>
            </w:r>
          </w:p>
        </w:tc>
        <w:tc>
          <w:tcPr>
            <w:tcW w:w="0" w:type="auto"/>
            <w:hideMark/>
          </w:tcPr>
          <w:p w:rsidR="00AD59C9" w:rsidRPr="008C2F65" w:rsidRDefault="00AD59C9" w:rsidP="00AD59C9">
            <w:pPr>
              <w:rPr>
                <w:rFonts w:eastAsia="Times New Roman" w:cs="Times New Roman"/>
                <w:sz w:val="24"/>
                <w:szCs w:val="24"/>
              </w:rPr>
            </w:pPr>
            <w:proofErr w:type="spellStart"/>
            <w:r w:rsidRPr="008C2F65">
              <w:rPr>
                <w:rFonts w:eastAsia="Times New Roman" w:cs="Times New Roman"/>
                <w:sz w:val="24"/>
                <w:szCs w:val="24"/>
              </w:rPr>
              <w:t>Landsat</w:t>
            </w:r>
            <w:proofErr w:type="spellEnd"/>
            <w:r w:rsidRPr="008C2F65">
              <w:rPr>
                <w:rFonts w:eastAsia="Times New Roman" w:cs="Times New Roman"/>
                <w:sz w:val="24"/>
                <w:szCs w:val="24"/>
              </w:rPr>
              <w:t xml:space="preserve"> 9</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TIRS-2</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138/44</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May 2025</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30 (</w:t>
            </w:r>
            <w:proofErr w:type="spellStart"/>
            <w:r w:rsidRPr="008C2F65">
              <w:rPr>
                <w:rFonts w:eastAsia="Times New Roman" w:cs="Times New Roman"/>
                <w:sz w:val="24"/>
                <w:szCs w:val="24"/>
              </w:rPr>
              <w:t>resampled</w:t>
            </w:r>
            <w:proofErr w:type="spellEnd"/>
            <w:r w:rsidRPr="008C2F65">
              <w:rPr>
                <w:rFonts w:eastAsia="Times New Roman" w:cs="Times New Roman"/>
                <w:sz w:val="24"/>
                <w:szCs w:val="24"/>
              </w:rPr>
              <w:t>)</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Band 10</w:t>
            </w:r>
          </w:p>
        </w:tc>
      </w:tr>
    </w:tbl>
    <w:p w:rsidR="005C6088" w:rsidRPr="008C2F65" w:rsidRDefault="0031743B" w:rsidP="001F1085">
      <w:pPr>
        <w:jc w:val="center"/>
        <w:rPr>
          <w:rFonts w:cs="Times New Roman"/>
          <w:b/>
          <w:szCs w:val="24"/>
        </w:rPr>
      </w:pPr>
      <w:proofErr w:type="gramStart"/>
      <w:r w:rsidRPr="008C2F65">
        <w:rPr>
          <w:rFonts w:cs="Times New Roman"/>
          <w:b/>
          <w:szCs w:val="24"/>
        </w:rPr>
        <w:t>Table 1.</w:t>
      </w:r>
      <w:proofErr w:type="gramEnd"/>
      <w:r w:rsidRPr="008C2F65">
        <w:rPr>
          <w:rFonts w:cs="Times New Roman"/>
          <w:b/>
          <w:szCs w:val="24"/>
        </w:rPr>
        <w:t xml:space="preserve"> . Satellite Data Overview</w:t>
      </w:r>
    </w:p>
    <w:tbl>
      <w:tblPr>
        <w:tblStyle w:val="TableGrid"/>
        <w:tblW w:w="0" w:type="auto"/>
        <w:tblLook w:val="04A0"/>
      </w:tblPr>
      <w:tblGrid>
        <w:gridCol w:w="724"/>
        <w:gridCol w:w="2042"/>
        <w:gridCol w:w="2082"/>
        <w:gridCol w:w="1602"/>
        <w:gridCol w:w="2406"/>
      </w:tblGrid>
      <w:tr w:rsidR="00783B07" w:rsidRPr="008C2F65" w:rsidTr="00783B07">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Year</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Minimum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Maximum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Mean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Standard Deviation (°C)</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2015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28.38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46.75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37.56</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4.22</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2025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w:t>
            </w:r>
            <w:r w:rsidR="00707B0C">
              <w:rPr>
                <w:rFonts w:eastAsia="Times New Roman" w:cs="Times New Roman"/>
                <w:sz w:val="24"/>
                <w:szCs w:val="24"/>
              </w:rPr>
              <w:t>04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50.52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40.13</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5.06</w:t>
            </w:r>
          </w:p>
        </w:tc>
      </w:tr>
    </w:tbl>
    <w:p w:rsidR="001F1085" w:rsidRPr="008C2F65" w:rsidRDefault="001F1085" w:rsidP="001F1085">
      <w:pPr>
        <w:jc w:val="center"/>
        <w:rPr>
          <w:rFonts w:cs="Times New Roman"/>
          <w:b/>
          <w:szCs w:val="24"/>
        </w:rPr>
      </w:pPr>
    </w:p>
    <w:p w:rsidR="005C6088" w:rsidRPr="008C2F65" w:rsidRDefault="001F1085" w:rsidP="001F1085">
      <w:pPr>
        <w:jc w:val="center"/>
        <w:rPr>
          <w:rFonts w:cs="Times New Roman"/>
          <w:b/>
          <w:szCs w:val="24"/>
        </w:rPr>
      </w:pPr>
      <w:r w:rsidRPr="008C2F65">
        <w:rPr>
          <w:rFonts w:cs="Times New Roman"/>
          <w:b/>
          <w:szCs w:val="24"/>
        </w:rPr>
        <w:t>Table 2: Showing land surface temperature (2015 and2025)</w:t>
      </w:r>
    </w:p>
    <w:tbl>
      <w:tblPr>
        <w:tblStyle w:val="TableGrid"/>
        <w:tblW w:w="0" w:type="auto"/>
        <w:tblLook w:val="04A0"/>
      </w:tblPr>
      <w:tblGrid>
        <w:gridCol w:w="1598"/>
        <w:gridCol w:w="2595"/>
        <w:gridCol w:w="1571"/>
        <w:gridCol w:w="1571"/>
        <w:gridCol w:w="1521"/>
      </w:tblGrid>
      <w:tr w:rsidR="00783B07" w:rsidRPr="008C2F65" w:rsidTr="00783B07">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UHI Categ</w:t>
            </w:r>
            <w:r w:rsidRPr="008C2F65">
              <w:rPr>
                <w:rFonts w:eastAsia="Times New Roman" w:cs="Times New Roman"/>
                <w:b/>
                <w:bCs/>
                <w:sz w:val="24"/>
                <w:szCs w:val="24"/>
              </w:rPr>
              <w:t>o</w:t>
            </w:r>
            <w:r w:rsidRPr="008C2F65">
              <w:rPr>
                <w:rFonts w:eastAsia="Times New Roman" w:cs="Times New Roman"/>
                <w:b/>
                <w:bCs/>
                <w:sz w:val="24"/>
                <w:szCs w:val="24"/>
              </w:rPr>
              <w:t>ry</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Temperature Range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2015 Area (%)</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2025 Area (%)</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Change (</w:t>
            </w:r>
            <w:proofErr w:type="gramStart"/>
            <w:r w:rsidRPr="008C2F65">
              <w:rPr>
                <w:rFonts w:eastAsia="Times New Roman" w:cs="Times New Roman"/>
                <w:b/>
                <w:bCs/>
                <w:sz w:val="24"/>
                <w:szCs w:val="24"/>
              </w:rPr>
              <w:t>Δ%</w:t>
            </w:r>
            <w:proofErr w:type="gramEnd"/>
            <w:r w:rsidRPr="008C2F65">
              <w:rPr>
                <w:rFonts w:eastAsia="Times New Roman" w:cs="Times New Roman"/>
                <w:b/>
                <w:bCs/>
                <w:sz w:val="24"/>
                <w:szCs w:val="24"/>
              </w:rPr>
              <w:t>)</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Very Low</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&lt;30</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22.4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15.3</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-7.1</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Low</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30–34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28.7</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22.5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-6.2</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Moderate</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34–38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25.1</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24.7</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-0.4</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High</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38–42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17.8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24.9</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+7.1</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Very High</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&gt;42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6.0</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12.6</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+6.6</w:t>
            </w:r>
          </w:p>
        </w:tc>
      </w:tr>
    </w:tbl>
    <w:p w:rsidR="00783B07" w:rsidRPr="008C2F65" w:rsidRDefault="00783B07">
      <w:pPr>
        <w:rPr>
          <w:rFonts w:cs="Times New Roman"/>
          <w:szCs w:val="24"/>
        </w:rPr>
      </w:pPr>
    </w:p>
    <w:p w:rsidR="005C6088" w:rsidRPr="008C2F65" w:rsidRDefault="0031743B" w:rsidP="0057371E">
      <w:pPr>
        <w:jc w:val="center"/>
        <w:rPr>
          <w:rFonts w:cs="Times New Roman"/>
          <w:b/>
          <w:szCs w:val="24"/>
        </w:rPr>
      </w:pPr>
      <w:proofErr w:type="gramStart"/>
      <w:r w:rsidRPr="008C2F65">
        <w:rPr>
          <w:rFonts w:cs="Times New Roman"/>
          <w:b/>
          <w:szCs w:val="24"/>
        </w:rPr>
        <w:t>Table 3.</w:t>
      </w:r>
      <w:proofErr w:type="gramEnd"/>
      <w:r w:rsidRPr="008C2F65">
        <w:rPr>
          <w:rFonts w:cs="Times New Roman"/>
          <w:b/>
          <w:szCs w:val="24"/>
        </w:rPr>
        <w:t xml:space="preserve"> </w:t>
      </w:r>
      <w:r w:rsidR="0057371E" w:rsidRPr="008C2F65">
        <w:rPr>
          <w:rFonts w:cs="Times New Roman"/>
          <w:b/>
          <w:szCs w:val="24"/>
        </w:rPr>
        <w:t>Showing UHI category</w:t>
      </w:r>
    </w:p>
    <w:tbl>
      <w:tblPr>
        <w:tblStyle w:val="TableGrid"/>
        <w:tblW w:w="0" w:type="auto"/>
        <w:tblLook w:val="04A0"/>
      </w:tblPr>
      <w:tblGrid>
        <w:gridCol w:w="1391"/>
        <w:gridCol w:w="2481"/>
        <w:gridCol w:w="2134"/>
        <w:gridCol w:w="2850"/>
      </w:tblGrid>
      <w:tr w:rsidR="0031743B" w:rsidRPr="008C2F65" w:rsidTr="0031743B">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Zone Type</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Key Locations</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Observed Trend (2015–2025)</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Likely Cause</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Core Urban</w:t>
            </w:r>
          </w:p>
        </w:tc>
        <w:tc>
          <w:tcPr>
            <w:tcW w:w="0" w:type="auto"/>
            <w:hideMark/>
          </w:tcPr>
          <w:p w:rsidR="0031743B" w:rsidRPr="008C2F65" w:rsidRDefault="0031743B" w:rsidP="0031743B">
            <w:pPr>
              <w:rPr>
                <w:rFonts w:eastAsia="Times New Roman" w:cs="Times New Roman"/>
                <w:sz w:val="24"/>
                <w:szCs w:val="24"/>
              </w:rPr>
            </w:pPr>
            <w:proofErr w:type="spellStart"/>
            <w:r w:rsidRPr="008C2F65">
              <w:rPr>
                <w:rFonts w:eastAsia="Times New Roman" w:cs="Times New Roman"/>
                <w:sz w:val="24"/>
                <w:szCs w:val="24"/>
              </w:rPr>
              <w:t>Burrabazar</w:t>
            </w:r>
            <w:proofErr w:type="spellEnd"/>
            <w:r w:rsidRPr="008C2F65">
              <w:rPr>
                <w:rFonts w:eastAsia="Times New Roman" w:cs="Times New Roman"/>
                <w:sz w:val="24"/>
                <w:szCs w:val="24"/>
              </w:rPr>
              <w:t>, Esplanade, South Kolkata</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Significant rise (up to +6°C)</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Dense built-up area, high vehicular emission</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Eastern Sector</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 xml:space="preserve">Salt Lake, </w:t>
            </w:r>
            <w:proofErr w:type="spellStart"/>
            <w:r w:rsidRPr="008C2F65">
              <w:rPr>
                <w:rFonts w:eastAsia="Times New Roman" w:cs="Times New Roman"/>
                <w:sz w:val="24"/>
                <w:szCs w:val="24"/>
              </w:rPr>
              <w:t>Rajarhat</w:t>
            </w:r>
            <w:proofErr w:type="spellEnd"/>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Moderate rise</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New residential and IT i</w:t>
            </w:r>
            <w:r w:rsidRPr="008C2F65">
              <w:rPr>
                <w:rFonts w:eastAsia="Times New Roman" w:cs="Times New Roman"/>
                <w:sz w:val="24"/>
                <w:szCs w:val="24"/>
              </w:rPr>
              <w:t>n</w:t>
            </w:r>
            <w:r w:rsidRPr="008C2F65">
              <w:rPr>
                <w:rFonts w:eastAsia="Times New Roman" w:cs="Times New Roman"/>
                <w:sz w:val="24"/>
                <w:szCs w:val="24"/>
              </w:rPr>
              <w:t>frastructure</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Southern Fringe</w:t>
            </w:r>
          </w:p>
        </w:tc>
        <w:tc>
          <w:tcPr>
            <w:tcW w:w="0" w:type="auto"/>
            <w:hideMark/>
          </w:tcPr>
          <w:p w:rsidR="0031743B" w:rsidRPr="008C2F65" w:rsidRDefault="0031743B" w:rsidP="0031743B">
            <w:pPr>
              <w:rPr>
                <w:rFonts w:eastAsia="Times New Roman" w:cs="Times New Roman"/>
                <w:sz w:val="24"/>
                <w:szCs w:val="24"/>
              </w:rPr>
            </w:pPr>
            <w:proofErr w:type="spellStart"/>
            <w:r w:rsidRPr="008C2F65">
              <w:rPr>
                <w:rFonts w:eastAsia="Times New Roman" w:cs="Times New Roman"/>
                <w:sz w:val="24"/>
                <w:szCs w:val="24"/>
              </w:rPr>
              <w:t>Jadavpur</w:t>
            </w:r>
            <w:proofErr w:type="spellEnd"/>
            <w:r w:rsidRPr="008C2F65">
              <w:rPr>
                <w:rFonts w:eastAsia="Times New Roman" w:cs="Times New Roman"/>
                <w:sz w:val="24"/>
                <w:szCs w:val="24"/>
              </w:rPr>
              <w:t xml:space="preserve">, </w:t>
            </w:r>
            <w:proofErr w:type="spellStart"/>
            <w:r w:rsidRPr="008C2F65">
              <w:rPr>
                <w:rFonts w:eastAsia="Times New Roman" w:cs="Times New Roman"/>
                <w:sz w:val="24"/>
                <w:szCs w:val="24"/>
              </w:rPr>
              <w:t>Garia</w:t>
            </w:r>
            <w:proofErr w:type="spellEnd"/>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Slight increase</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Expanding residential zones</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River-adjacent</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Along Hooghly River</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Stable / cooling</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Presence of water and green buffers</w:t>
            </w:r>
          </w:p>
        </w:tc>
      </w:tr>
    </w:tbl>
    <w:p w:rsidR="0031743B" w:rsidRPr="008C2F65" w:rsidRDefault="0031743B" w:rsidP="0057371E">
      <w:pPr>
        <w:jc w:val="center"/>
        <w:rPr>
          <w:rFonts w:cs="Times New Roman"/>
          <w:b/>
          <w:szCs w:val="24"/>
        </w:rPr>
      </w:pPr>
    </w:p>
    <w:p w:rsidR="005C6088" w:rsidRPr="008C2F65" w:rsidRDefault="0031743B" w:rsidP="0057371E">
      <w:pPr>
        <w:jc w:val="center"/>
        <w:rPr>
          <w:rFonts w:cs="Times New Roman"/>
          <w:b/>
          <w:szCs w:val="24"/>
        </w:rPr>
      </w:pPr>
      <w:proofErr w:type="gramStart"/>
      <w:r w:rsidRPr="008C2F65">
        <w:rPr>
          <w:rFonts w:cs="Times New Roman"/>
          <w:b/>
          <w:szCs w:val="24"/>
        </w:rPr>
        <w:t>Table 4.</w:t>
      </w:r>
      <w:proofErr w:type="gramEnd"/>
      <w:r w:rsidRPr="008C2F65">
        <w:rPr>
          <w:rFonts w:cs="Times New Roman"/>
          <w:b/>
          <w:szCs w:val="24"/>
        </w:rPr>
        <w:t xml:space="preserve"> </w:t>
      </w:r>
      <w:r w:rsidR="0057371E" w:rsidRPr="008C2F65">
        <w:rPr>
          <w:rFonts w:cs="Times New Roman"/>
          <w:b/>
          <w:szCs w:val="24"/>
        </w:rPr>
        <w:t>Showing zonal characteristics</w:t>
      </w:r>
    </w:p>
    <w:tbl>
      <w:tblPr>
        <w:tblStyle w:val="TableGrid"/>
        <w:tblpPr w:leftFromText="180" w:rightFromText="180" w:vertAnchor="text" w:horzAnchor="margin" w:tblpY="68"/>
        <w:tblW w:w="0" w:type="auto"/>
        <w:tblLook w:val="04A0"/>
      </w:tblPr>
      <w:tblGrid>
        <w:gridCol w:w="4488"/>
        <w:gridCol w:w="756"/>
        <w:gridCol w:w="756"/>
        <w:gridCol w:w="1890"/>
      </w:tblGrid>
      <w:tr w:rsidR="0057371E" w:rsidRPr="008C2F65" w:rsidTr="0057371E">
        <w:tc>
          <w:tcPr>
            <w:tcW w:w="0" w:type="auto"/>
            <w:hideMark/>
          </w:tcPr>
          <w:p w:rsidR="0057371E" w:rsidRPr="008C2F65" w:rsidRDefault="0057371E" w:rsidP="0057371E">
            <w:pPr>
              <w:jc w:val="center"/>
              <w:rPr>
                <w:rFonts w:eastAsia="Times New Roman" w:cs="Times New Roman"/>
                <w:b/>
                <w:bCs/>
                <w:sz w:val="24"/>
                <w:szCs w:val="24"/>
              </w:rPr>
            </w:pPr>
            <w:r w:rsidRPr="008C2F65">
              <w:rPr>
                <w:rFonts w:eastAsia="Times New Roman" w:cs="Times New Roman"/>
                <w:b/>
                <w:bCs/>
                <w:sz w:val="24"/>
                <w:szCs w:val="24"/>
              </w:rPr>
              <w:t>Parameter</w:t>
            </w:r>
          </w:p>
        </w:tc>
        <w:tc>
          <w:tcPr>
            <w:tcW w:w="0" w:type="auto"/>
            <w:hideMark/>
          </w:tcPr>
          <w:p w:rsidR="0057371E" w:rsidRPr="008C2F65" w:rsidRDefault="0057371E" w:rsidP="0057371E">
            <w:pPr>
              <w:jc w:val="center"/>
              <w:rPr>
                <w:rFonts w:eastAsia="Times New Roman" w:cs="Times New Roman"/>
                <w:b/>
                <w:bCs/>
                <w:sz w:val="24"/>
                <w:szCs w:val="24"/>
              </w:rPr>
            </w:pPr>
            <w:r w:rsidRPr="008C2F65">
              <w:rPr>
                <w:rFonts w:eastAsia="Times New Roman" w:cs="Times New Roman"/>
                <w:b/>
                <w:bCs/>
                <w:sz w:val="24"/>
                <w:szCs w:val="24"/>
              </w:rPr>
              <w:t>2015</w:t>
            </w:r>
          </w:p>
        </w:tc>
        <w:tc>
          <w:tcPr>
            <w:tcW w:w="0" w:type="auto"/>
            <w:hideMark/>
          </w:tcPr>
          <w:p w:rsidR="0057371E" w:rsidRPr="008C2F65" w:rsidRDefault="0057371E" w:rsidP="0057371E">
            <w:pPr>
              <w:jc w:val="center"/>
              <w:rPr>
                <w:rFonts w:eastAsia="Times New Roman" w:cs="Times New Roman"/>
                <w:b/>
                <w:bCs/>
                <w:sz w:val="24"/>
                <w:szCs w:val="24"/>
              </w:rPr>
            </w:pPr>
            <w:r w:rsidRPr="008C2F65">
              <w:rPr>
                <w:rFonts w:eastAsia="Times New Roman" w:cs="Times New Roman"/>
                <w:b/>
                <w:bCs/>
                <w:sz w:val="24"/>
                <w:szCs w:val="24"/>
              </w:rPr>
              <w:t>2025</w:t>
            </w:r>
          </w:p>
        </w:tc>
        <w:tc>
          <w:tcPr>
            <w:tcW w:w="0" w:type="auto"/>
            <w:hideMark/>
          </w:tcPr>
          <w:p w:rsidR="0057371E" w:rsidRPr="008C2F65" w:rsidRDefault="0057371E" w:rsidP="0057371E">
            <w:pPr>
              <w:jc w:val="center"/>
              <w:rPr>
                <w:rFonts w:eastAsia="Times New Roman" w:cs="Times New Roman"/>
                <w:b/>
                <w:bCs/>
                <w:sz w:val="24"/>
                <w:szCs w:val="24"/>
              </w:rPr>
            </w:pPr>
            <w:r w:rsidRPr="008C2F65">
              <w:rPr>
                <w:rFonts w:eastAsia="Times New Roman" w:cs="Times New Roman"/>
                <w:b/>
                <w:bCs/>
                <w:sz w:val="24"/>
                <w:szCs w:val="24"/>
              </w:rPr>
              <w:t>Decadal Change</w:t>
            </w:r>
          </w:p>
        </w:tc>
      </w:tr>
      <w:tr w:rsidR="0057371E" w:rsidRPr="008C2F65" w:rsidTr="0057371E">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Mean Surface Temp (°C)</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37.56</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40.13</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+2.57</w:t>
            </w:r>
          </w:p>
        </w:tc>
      </w:tr>
      <w:tr w:rsidR="0057371E" w:rsidRPr="008C2F65" w:rsidTr="0057371E">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Maximum Surface Temp (°C)</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46.75</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50.52</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+3.77</w:t>
            </w:r>
          </w:p>
        </w:tc>
      </w:tr>
      <w:tr w:rsidR="0057371E" w:rsidRPr="008C2F65" w:rsidTr="0057371E">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Area under “High” &amp; “Very High” UHI (%)</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23.8</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37.5</w:t>
            </w:r>
          </w:p>
        </w:tc>
        <w:tc>
          <w:tcPr>
            <w:tcW w:w="0" w:type="auto"/>
            <w:hideMark/>
          </w:tcPr>
          <w:p w:rsidR="0057371E" w:rsidRPr="008C2F65" w:rsidRDefault="0057371E" w:rsidP="0057371E">
            <w:pPr>
              <w:rPr>
                <w:rFonts w:eastAsia="Times New Roman" w:cs="Times New Roman"/>
                <w:sz w:val="24"/>
                <w:szCs w:val="24"/>
              </w:rPr>
            </w:pPr>
            <w:r w:rsidRPr="008C2F65">
              <w:rPr>
                <w:rFonts w:eastAsia="Times New Roman" w:cs="Times New Roman"/>
                <w:sz w:val="24"/>
                <w:szCs w:val="24"/>
              </w:rPr>
              <w:t>+13.7</w:t>
            </w:r>
          </w:p>
        </w:tc>
      </w:tr>
    </w:tbl>
    <w:p w:rsidR="0057371E" w:rsidRPr="008C2F65" w:rsidRDefault="0057371E" w:rsidP="0057371E">
      <w:pPr>
        <w:jc w:val="center"/>
        <w:rPr>
          <w:rFonts w:cs="Times New Roman"/>
          <w:b/>
          <w:szCs w:val="24"/>
        </w:rPr>
      </w:pPr>
    </w:p>
    <w:p w:rsidR="0031743B" w:rsidRPr="008C2F65" w:rsidRDefault="0031743B" w:rsidP="001F1085">
      <w:pPr>
        <w:jc w:val="center"/>
        <w:rPr>
          <w:rFonts w:cs="Times New Roman"/>
          <w:szCs w:val="24"/>
        </w:rPr>
      </w:pPr>
    </w:p>
    <w:p w:rsidR="009C482F" w:rsidRPr="008C2F65" w:rsidRDefault="009C482F" w:rsidP="001F1085">
      <w:pPr>
        <w:jc w:val="center"/>
        <w:rPr>
          <w:rFonts w:cs="Times New Roman"/>
          <w:szCs w:val="24"/>
        </w:rPr>
      </w:pPr>
    </w:p>
    <w:p w:rsidR="009C482F" w:rsidRPr="008C2F65" w:rsidRDefault="0057371E" w:rsidP="0057371E">
      <w:pPr>
        <w:jc w:val="center"/>
        <w:rPr>
          <w:rFonts w:cs="Times New Roman"/>
          <w:b/>
          <w:szCs w:val="24"/>
        </w:rPr>
      </w:pPr>
      <w:r w:rsidRPr="008C2F65">
        <w:rPr>
          <w:rFonts w:cs="Times New Roman"/>
          <w:b/>
          <w:szCs w:val="24"/>
        </w:rPr>
        <w:t xml:space="preserve">Table </w:t>
      </w:r>
      <w:proofErr w:type="gramStart"/>
      <w:r w:rsidRPr="008C2F65">
        <w:rPr>
          <w:rFonts w:cs="Times New Roman"/>
          <w:b/>
          <w:szCs w:val="24"/>
        </w:rPr>
        <w:t>5 :</w:t>
      </w:r>
      <w:proofErr w:type="gramEnd"/>
      <w:r w:rsidRPr="008C2F65">
        <w:rPr>
          <w:rFonts w:cs="Times New Roman"/>
          <w:b/>
          <w:szCs w:val="24"/>
        </w:rPr>
        <w:t xml:space="preserve"> Showing decadal changes</w:t>
      </w:r>
    </w:p>
    <w:p w:rsidR="005C6088" w:rsidRPr="008C2F65" w:rsidRDefault="0031743B">
      <w:pPr>
        <w:rPr>
          <w:rFonts w:cs="Times New Roman"/>
          <w:szCs w:val="24"/>
        </w:rPr>
      </w:pPr>
      <w:r w:rsidRPr="008C2F65">
        <w:rPr>
          <w:rFonts w:cs="Times New Roman"/>
          <w:szCs w:val="24"/>
        </w:rPr>
        <w:t>Spatial patterns demonstrate that central commercial and residential regions experienced the greatest temperature increase, attributed to high impervious surface density and l</w:t>
      </w:r>
      <w:r w:rsidRPr="008C2F65">
        <w:rPr>
          <w:rFonts w:cs="Times New Roman"/>
          <w:szCs w:val="24"/>
        </w:rPr>
        <w:t>i</w:t>
      </w:r>
      <w:r w:rsidRPr="008C2F65">
        <w:rPr>
          <w:rFonts w:cs="Times New Roman"/>
          <w:szCs w:val="24"/>
        </w:rPr>
        <w:t>mited vegetation. Conversely, river-adjacent and wetland zones exhibited cooling trends, reflecting the influence of hydrological and vegetative features.</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5. CONCLUSION AND POLICY IMPLICATIONS</w:t>
      </w:r>
    </w:p>
    <w:p w:rsidR="005C6088" w:rsidRPr="008C2F65" w:rsidRDefault="0031743B">
      <w:pPr>
        <w:rPr>
          <w:rFonts w:cs="Times New Roman"/>
          <w:szCs w:val="24"/>
        </w:rPr>
      </w:pPr>
      <w:r w:rsidRPr="008C2F65">
        <w:rPr>
          <w:rFonts w:cs="Times New Roman"/>
          <w:szCs w:val="24"/>
        </w:rPr>
        <w:t>The comparative analysis confirms a notable rise in UHI intensity across Kolkata b</w:t>
      </w:r>
      <w:r w:rsidRPr="008C2F65">
        <w:rPr>
          <w:rFonts w:cs="Times New Roman"/>
          <w:szCs w:val="24"/>
        </w:rPr>
        <w:t>e</w:t>
      </w:r>
      <w:r w:rsidRPr="008C2F65">
        <w:rPr>
          <w:rFonts w:cs="Times New Roman"/>
          <w:szCs w:val="24"/>
        </w:rPr>
        <w:t>tween 2015 and 2025. The expansion of high-temperature zones correlates with unreg</w:t>
      </w:r>
      <w:r w:rsidRPr="008C2F65">
        <w:rPr>
          <w:rFonts w:cs="Times New Roman"/>
          <w:szCs w:val="24"/>
        </w:rPr>
        <w:t>u</w:t>
      </w:r>
      <w:r w:rsidRPr="008C2F65">
        <w:rPr>
          <w:rFonts w:cs="Times New Roman"/>
          <w:szCs w:val="24"/>
        </w:rPr>
        <w:t>lated urban growth and vegetation loss. Key mitigation measures include expanding green belts, implementing cool roofing systems, and protecting wetlands.</w:t>
      </w:r>
    </w:p>
    <w:p w:rsidR="005C6088" w:rsidRPr="008C2F65" w:rsidRDefault="0031743B">
      <w:pPr>
        <w:rPr>
          <w:rFonts w:cs="Times New Roman"/>
          <w:szCs w:val="24"/>
        </w:rPr>
      </w:pPr>
      <w:r w:rsidRPr="008C2F65">
        <w:rPr>
          <w:rFonts w:cs="Times New Roman"/>
          <w:szCs w:val="24"/>
        </w:rPr>
        <w:t>The study aligns with the objectives of Sustainable Development Goal (SDG) 11 – Su</w:t>
      </w:r>
      <w:r w:rsidRPr="008C2F65">
        <w:rPr>
          <w:rFonts w:cs="Times New Roman"/>
          <w:szCs w:val="24"/>
        </w:rPr>
        <w:t>s</w:t>
      </w:r>
      <w:r w:rsidRPr="008C2F65">
        <w:rPr>
          <w:rFonts w:cs="Times New Roman"/>
          <w:szCs w:val="24"/>
        </w:rPr>
        <w:t>tainable Cities and Communities, and SDG 13 – Climate Action. Future research can i</w:t>
      </w:r>
      <w:r w:rsidRPr="008C2F65">
        <w:rPr>
          <w:rFonts w:cs="Times New Roman"/>
          <w:szCs w:val="24"/>
        </w:rPr>
        <w:t>n</w:t>
      </w:r>
      <w:r w:rsidRPr="008C2F65">
        <w:rPr>
          <w:rFonts w:cs="Times New Roman"/>
          <w:szCs w:val="24"/>
        </w:rPr>
        <w:t>tegrate socio-economic parameters and field-based temperature validation to enhance model accuracy.</w:t>
      </w:r>
    </w:p>
    <w:p w:rsidR="0057371E" w:rsidRPr="008C2F65" w:rsidRDefault="0057371E">
      <w:pPr>
        <w:pStyle w:val="Heading1"/>
        <w:rPr>
          <w:rFonts w:ascii="Times New Roman" w:hAnsi="Times New Roman" w:cs="Times New Roman"/>
          <w:sz w:val="40"/>
          <w:szCs w:val="40"/>
        </w:rPr>
      </w:pPr>
    </w:p>
    <w:p w:rsidR="0057371E" w:rsidRPr="008C2F65" w:rsidRDefault="0057371E">
      <w:pPr>
        <w:pStyle w:val="Heading1"/>
        <w:rPr>
          <w:rFonts w:ascii="Times New Roman" w:hAnsi="Times New Roman" w:cs="Times New Roman"/>
          <w:sz w:val="40"/>
          <w:szCs w:val="40"/>
        </w:rPr>
      </w:pPr>
    </w:p>
    <w:p w:rsidR="0057371E" w:rsidRPr="008C2F65" w:rsidRDefault="0057371E">
      <w:pPr>
        <w:pStyle w:val="Heading1"/>
        <w:rPr>
          <w:rFonts w:ascii="Times New Roman" w:hAnsi="Times New Roman" w:cs="Times New Roman"/>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8C2F65" w:rsidRPr="008C2F65" w:rsidRDefault="008C2F65" w:rsidP="00707B0C">
      <w:pPr>
        <w:pStyle w:val="ListBullet"/>
        <w:numPr>
          <w:ilvl w:val="0"/>
          <w:numId w:val="0"/>
        </w:numPr>
        <w:rPr>
          <w:rFonts w:cs="Times New Roman"/>
          <w:b/>
          <w:sz w:val="28"/>
          <w:szCs w:val="28"/>
          <w:u w:val="single"/>
        </w:rPr>
      </w:pPr>
      <w:r w:rsidRPr="008C2F65">
        <w:rPr>
          <w:rFonts w:cs="Times New Roman"/>
          <w:b/>
          <w:sz w:val="28"/>
          <w:szCs w:val="28"/>
          <w:u w:val="single"/>
        </w:rPr>
        <w:t>REFFERENCES</w:t>
      </w:r>
    </w:p>
    <w:p w:rsidR="005C6088" w:rsidRPr="008C2F65" w:rsidRDefault="0031743B" w:rsidP="008C2F65">
      <w:pPr>
        <w:pStyle w:val="ListBullet"/>
        <w:rPr>
          <w:rFonts w:cs="Times New Roman"/>
          <w:szCs w:val="24"/>
        </w:rPr>
      </w:pPr>
      <w:proofErr w:type="spellStart"/>
      <w:r w:rsidRPr="008C2F65">
        <w:rPr>
          <w:rFonts w:cs="Times New Roman"/>
          <w:szCs w:val="24"/>
        </w:rPr>
        <w:t>Oke</w:t>
      </w:r>
      <w:proofErr w:type="spellEnd"/>
      <w:r w:rsidRPr="008C2F65">
        <w:rPr>
          <w:rFonts w:cs="Times New Roman"/>
          <w:szCs w:val="24"/>
        </w:rPr>
        <w:t>, T. R. (1982). The energetic basis of the urban heat island. *Quarterly Journal of the Royal Meteorological Society*, 108(455), 1–24.</w:t>
      </w:r>
    </w:p>
    <w:p w:rsidR="005C6088" w:rsidRPr="008C2F65" w:rsidRDefault="0031743B" w:rsidP="008C2F65">
      <w:pPr>
        <w:pStyle w:val="ListBullet"/>
        <w:rPr>
          <w:rFonts w:cs="Times New Roman"/>
          <w:szCs w:val="24"/>
        </w:rPr>
      </w:pPr>
      <w:r w:rsidRPr="008C2F65">
        <w:rPr>
          <w:rFonts w:cs="Times New Roman"/>
          <w:szCs w:val="24"/>
        </w:rPr>
        <w:t>Voogt, J. A., &amp; Oke, T. R. (2003). Thermal remote sensing of urban climates. *Remote Sensing of Environment*, 86(3), 370–384.</w:t>
      </w:r>
    </w:p>
    <w:p w:rsidR="005C6088" w:rsidRPr="008C2F65" w:rsidRDefault="0031743B" w:rsidP="008C2F65">
      <w:pPr>
        <w:pStyle w:val="ListBullet"/>
        <w:rPr>
          <w:rFonts w:cs="Times New Roman"/>
          <w:szCs w:val="24"/>
        </w:rPr>
      </w:pPr>
      <w:r w:rsidRPr="008C2F65">
        <w:rPr>
          <w:rFonts w:cs="Times New Roman"/>
          <w:szCs w:val="24"/>
        </w:rPr>
        <w:t>Rasul, G., et al. (2017). Monitoring of urban heat island effect in Delhi using Landsat data. *Environmental Monitoring and Assessment*, 189(4), 161.</w:t>
      </w:r>
    </w:p>
    <w:p w:rsidR="005C6088" w:rsidRPr="008C2F65" w:rsidRDefault="0031743B" w:rsidP="008C2F65">
      <w:pPr>
        <w:pStyle w:val="ListBullet"/>
        <w:rPr>
          <w:rFonts w:cs="Times New Roman"/>
          <w:szCs w:val="24"/>
        </w:rPr>
      </w:pPr>
      <w:r w:rsidRPr="008C2F65">
        <w:rPr>
          <w:rFonts w:cs="Times New Roman"/>
          <w:szCs w:val="24"/>
        </w:rPr>
        <w:t>USGS. (2023). Landsat Surface Temperature Science Product (Collection 2). United States Geological Survey.</w:t>
      </w:r>
    </w:p>
    <w:p w:rsidR="005C6088" w:rsidRPr="008C2F65" w:rsidRDefault="0031743B" w:rsidP="008C2F65">
      <w:pPr>
        <w:pStyle w:val="ListBullet"/>
        <w:rPr>
          <w:rFonts w:cs="Times New Roman"/>
          <w:szCs w:val="24"/>
        </w:rPr>
      </w:pPr>
      <w:r w:rsidRPr="008C2F65">
        <w:rPr>
          <w:rFonts w:cs="Times New Roman"/>
          <w:szCs w:val="24"/>
        </w:rPr>
        <w:t>Singh, R. B., &amp; Grover, A. (2015). Urban heat island effect analysis using Landsat data: A case study of Delhi. *Geography Journal*, 2015, 1–12.</w:t>
      </w:r>
    </w:p>
    <w:p w:rsidR="005C6088" w:rsidRPr="008C2F65" w:rsidRDefault="0031743B" w:rsidP="008C2F65">
      <w:pPr>
        <w:pStyle w:val="ListBullet"/>
        <w:rPr>
          <w:rFonts w:cs="Times New Roman"/>
          <w:szCs w:val="24"/>
        </w:rPr>
      </w:pPr>
      <w:r w:rsidRPr="008C2F65">
        <w:rPr>
          <w:rFonts w:cs="Times New Roman"/>
          <w:szCs w:val="24"/>
        </w:rPr>
        <w:t>Chakraborty, S., &amp; Maitra, A. (2020). Impact of urbanization on surface temperature in eastern India: A remote sensing approach. *Urban Climate*, 34, 100707.</w:t>
      </w:r>
    </w:p>
    <w:p w:rsidR="005C6088" w:rsidRPr="008C2F65" w:rsidRDefault="0031743B" w:rsidP="008C2F65">
      <w:pPr>
        <w:pStyle w:val="ListBullet"/>
        <w:rPr>
          <w:rFonts w:cs="Times New Roman"/>
          <w:szCs w:val="24"/>
        </w:rPr>
      </w:pPr>
      <w:r w:rsidRPr="008C2F65">
        <w:rPr>
          <w:rFonts w:cs="Times New Roman"/>
          <w:szCs w:val="24"/>
        </w:rPr>
        <w:t>UNDP. (2022). Sustainable Development Goals: Goal 11 and Goal 13. United N</w:t>
      </w:r>
      <w:r w:rsidRPr="008C2F65">
        <w:rPr>
          <w:rFonts w:cs="Times New Roman"/>
          <w:szCs w:val="24"/>
        </w:rPr>
        <w:t>a</w:t>
      </w:r>
      <w:r w:rsidRPr="008C2F65">
        <w:rPr>
          <w:rFonts w:cs="Times New Roman"/>
          <w:szCs w:val="24"/>
        </w:rPr>
        <w:t>tions Development Programme.</w:t>
      </w:r>
    </w:p>
    <w:p w:rsidR="008C2F65" w:rsidRPr="008C2F65" w:rsidRDefault="008C2F65" w:rsidP="00212B50">
      <w:pPr>
        <w:pStyle w:val="ListBullet"/>
        <w:numPr>
          <w:ilvl w:val="0"/>
          <w:numId w:val="0"/>
        </w:numPr>
        <w:ind w:left="360"/>
        <w:rPr>
          <w:rFonts w:cs="Times New Roman"/>
          <w:sz w:val="40"/>
          <w:szCs w:val="40"/>
        </w:rPr>
      </w:pPr>
    </w:p>
    <w:sectPr w:rsidR="008C2F65" w:rsidRPr="008C2F6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compat>
    <w:useFELayout/>
  </w:compat>
  <w:rsids>
    <w:rsidRoot w:val="00B47730"/>
    <w:rsid w:val="00034616"/>
    <w:rsid w:val="0006063C"/>
    <w:rsid w:val="000A6162"/>
    <w:rsid w:val="0015074B"/>
    <w:rsid w:val="001D0D6E"/>
    <w:rsid w:val="001F1085"/>
    <w:rsid w:val="00212B50"/>
    <w:rsid w:val="0029639D"/>
    <w:rsid w:val="0031743B"/>
    <w:rsid w:val="00326F90"/>
    <w:rsid w:val="0057371E"/>
    <w:rsid w:val="005C6088"/>
    <w:rsid w:val="006C4AD6"/>
    <w:rsid w:val="00707B0C"/>
    <w:rsid w:val="00783B07"/>
    <w:rsid w:val="008C2F65"/>
    <w:rsid w:val="0090597B"/>
    <w:rsid w:val="009C482F"/>
    <w:rsid w:val="00AA1D8D"/>
    <w:rsid w:val="00AD59C9"/>
    <w:rsid w:val="00B47730"/>
    <w:rsid w:val="00CB0664"/>
    <w:rsid w:val="00D90FEA"/>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C4A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AD6"/>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76731">
      <w:bodyDiv w:val="1"/>
      <w:marLeft w:val="0"/>
      <w:marRight w:val="0"/>
      <w:marTop w:val="0"/>
      <w:marBottom w:val="0"/>
      <w:divBdr>
        <w:top w:val="none" w:sz="0" w:space="0" w:color="auto"/>
        <w:left w:val="none" w:sz="0" w:space="0" w:color="auto"/>
        <w:bottom w:val="none" w:sz="0" w:space="0" w:color="auto"/>
        <w:right w:val="none" w:sz="0" w:space="0" w:color="auto"/>
      </w:divBdr>
    </w:div>
    <w:div w:id="39714973">
      <w:bodyDiv w:val="1"/>
      <w:marLeft w:val="0"/>
      <w:marRight w:val="0"/>
      <w:marTop w:val="0"/>
      <w:marBottom w:val="0"/>
      <w:divBdr>
        <w:top w:val="none" w:sz="0" w:space="0" w:color="auto"/>
        <w:left w:val="none" w:sz="0" w:space="0" w:color="auto"/>
        <w:bottom w:val="none" w:sz="0" w:space="0" w:color="auto"/>
        <w:right w:val="none" w:sz="0" w:space="0" w:color="auto"/>
      </w:divBdr>
    </w:div>
    <w:div w:id="1171917024">
      <w:bodyDiv w:val="1"/>
      <w:marLeft w:val="0"/>
      <w:marRight w:val="0"/>
      <w:marTop w:val="0"/>
      <w:marBottom w:val="0"/>
      <w:divBdr>
        <w:top w:val="none" w:sz="0" w:space="0" w:color="auto"/>
        <w:left w:val="none" w:sz="0" w:space="0" w:color="auto"/>
        <w:bottom w:val="none" w:sz="0" w:space="0" w:color="auto"/>
        <w:right w:val="none" w:sz="0" w:space="0" w:color="auto"/>
      </w:divBdr>
    </w:div>
    <w:div w:id="1392459190">
      <w:bodyDiv w:val="1"/>
      <w:marLeft w:val="0"/>
      <w:marRight w:val="0"/>
      <w:marTop w:val="0"/>
      <w:marBottom w:val="0"/>
      <w:divBdr>
        <w:top w:val="none" w:sz="0" w:space="0" w:color="auto"/>
        <w:left w:val="none" w:sz="0" w:space="0" w:color="auto"/>
        <w:bottom w:val="none" w:sz="0" w:space="0" w:color="auto"/>
        <w:right w:val="none" w:sz="0" w:space="0" w:color="auto"/>
      </w:divBdr>
    </w:div>
    <w:div w:id="1510413046">
      <w:bodyDiv w:val="1"/>
      <w:marLeft w:val="0"/>
      <w:marRight w:val="0"/>
      <w:marTop w:val="0"/>
      <w:marBottom w:val="0"/>
      <w:divBdr>
        <w:top w:val="none" w:sz="0" w:space="0" w:color="auto"/>
        <w:left w:val="none" w:sz="0" w:space="0" w:color="auto"/>
        <w:bottom w:val="none" w:sz="0" w:space="0" w:color="auto"/>
        <w:right w:val="none" w:sz="0" w:space="0" w:color="auto"/>
      </w:divBdr>
    </w:div>
    <w:div w:id="1816339644">
      <w:bodyDiv w:val="1"/>
      <w:marLeft w:val="0"/>
      <w:marRight w:val="0"/>
      <w:marTop w:val="0"/>
      <w:marBottom w:val="0"/>
      <w:divBdr>
        <w:top w:val="none" w:sz="0" w:space="0" w:color="auto"/>
        <w:left w:val="none" w:sz="0" w:space="0" w:color="auto"/>
        <w:bottom w:val="none" w:sz="0" w:space="0" w:color="auto"/>
        <w:right w:val="none" w:sz="0" w:space="0" w:color="auto"/>
      </w:divBdr>
    </w:div>
    <w:div w:id="1837113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CE1D5-7E04-4124-921D-3F3A1B77D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9</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2025-12-23T04:55:00Z</dcterms:created>
  <dcterms:modified xsi:type="dcterms:W3CDTF">2025-12-23T04:55:00Z</dcterms:modified>
</cp:coreProperties>
</file>