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Lab 3: Architectural Pattern Selection — Written Justification</w:t>
      </w:r>
    </w:p>
    <w:p>
      <w:pPr>
        <w:spacing w:after="240"/>
        <w:jc w:val="center"/>
      </w:pPr>
      <w:r>
        <w:rPr>
          <w:i/>
          <w:iCs/>
          <w:color w:val="444444"/>
          <w:sz w:val="22"/>
          <w:szCs w:val="22"/>
        </w:rPr>
        <w:t xml:space="preserve">Problem Statement #20: Hospital Bed &amp; ICU Allocation Dashboard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We chose Microservices Architecture for the Hospital Bed &amp; ICU Allocation Dashboard System.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Architectural Choice</w:t>
      </w:r>
    </w:p>
    <w:p>
      <w:pPr>
        <w:spacing w:after="200"/>
      </w:pPr>
      <w:r>
        <w:rPr>
          <w:sz w:val="22"/>
          <w:szCs w:val="22"/>
        </w:rPr>
        <w:t xml:space="preserve">A microservices architecture was selected, decomposing the system into independently deployable services: TriageScoringService, BedAllocationService, AmbulanceTransferService, DashboardGatewayService (WebSocket layer), and PatientBedDatabaseService, communicating through well-defined provided/required interfaces.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Reason 1: Independent Scaling Under Emergency Load</w:t>
      </w:r>
    </w:p>
    <w:p>
      <w:pPr>
        <w:spacing w:after="200"/>
      </w:pPr>
      <w:r>
        <w:rPr>
          <w:sz w:val="22"/>
          <w:szCs w:val="22"/>
        </w:rPr>
        <w:t xml:space="preserve">ER bed occupancy, triage scoring, and inter-facility ambulance transfers have very different and unpredictable load profiles, especially during mass-casualty surges. Microservices let BedAllocationService or AmbulanceTransferService be scaled out independently during a surge without redeploying or over-provisioning the rest of the system, which a tightly coupled layered design cannot do.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Reason 2: Fault Isolation for a Real-Time, Life-Critical Dashboard</w:t>
      </w:r>
    </w:p>
    <w:p>
      <w:pPr>
        <w:spacing w:after="200"/>
      </w:pPr>
      <w:r>
        <w:rPr>
          <w:sz w:val="22"/>
          <w:szCs w:val="22"/>
        </w:rPr>
        <w:t xml:space="preserve">NFR-001 requires bed status changes to reach every connected ER dashboard client in under one second over WebSockets. Isolating this concern inside a dedicated DashboardGatewayService means a slowdown or crash in AmbulanceTransferService (e.g. a stalled external ambulance-dispatch integration) cannot block real-time bed-status propagation to the Triage Nurse's screen — a failure mode that would be unavoidable in a single monolithic or strictly layered system.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Security Advantage</w:t>
      </w:r>
    </w:p>
    <w:p>
      <w:pPr>
        <w:spacing w:after="200"/>
      </w:pPr>
      <w:r>
        <w:rPr>
          <w:sz w:val="22"/>
          <w:szCs w:val="22"/>
        </w:rPr>
        <w:t xml:space="preserve">Each service exposes only a narrow, explicit interface (e.g. IDataStore, ITriageScore) and enforces its own least-privilege access boundary. Only BedAllocationService, TriageScoringService, and AmbulanceTransferService may write to PatientBedDatabaseService, while DashboardGatewayService only ever receives read-only status pushes and never touches raw patient records directly — so a compromise of the public-facing gateway cannot directly expose the underlying patient database.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Performance Benefit</w:t>
      </w:r>
    </w:p>
    <w:p>
      <w:pPr>
        <w:spacing w:after="120"/>
      </w:pPr>
      <w:r>
        <w:rPr>
          <w:sz w:val="22"/>
          <w:szCs w:val="22"/>
        </w:rPr>
        <w:t xml:space="preserve">Because DashboardGatewayService is a separately scalable service dedicated to WebSocket fan-out, additional ER dashboard clients (more nurse stations, admin dashboards) can be served by adding gateway replicas alone, keeping bed-status propagation latency under the 1-second NFR-001 target even as connected-client count grows, without any change to the triage or allocation logic.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2026-09-28T03:03:46.223Z</dcterms:created>
  <dcterms:modified xsi:type="dcterms:W3CDTF">2026-09-28T03:03:46.232Z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