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Gym or Wellness Reimbursement Plans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Gym or Wellness Reimbursement Plans available to employees at Company K. The aim is to encourage employee health and wellness through financial support for gym memberships and wellness-related activities.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eligible employees of Company K and covers the reimbursement procedures for gym memberships and wellness-related expenses.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htcc96482r7" w:id="0"/>
      <w:bookmarkEnd w:id="0"/>
      <w:r w:rsidDel="00000000" w:rsidR="00000000" w:rsidRPr="00000000">
        <w:rPr>
          <w:b w:val="1"/>
          <w:color w:val="000000"/>
          <w:sz w:val="26"/>
          <w:szCs w:val="26"/>
          <w:rtl w:val="0"/>
        </w:rPr>
        <w:t xml:space="preserve">3. Reimbursement Overview</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Eligible Expenses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Gym Memberships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Reimbursement for memberships at fitness centers, gyms, or health clubs.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Eligible Costs</w:t>
      </w:r>
      <w:r w:rsidDel="00000000" w:rsidR="00000000" w:rsidRPr="00000000">
        <w:rPr>
          <w:rtl w:val="0"/>
        </w:rPr>
        <w:t xml:space="preserve">: Monthly or annual membership fees.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3.1.2 Wellness Activities</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Reimbursement for expenses related to wellness activities, including yoga classes, fitness classes, and personal training sessions.</w:t>
      </w:r>
    </w:p>
    <w:p w:rsidR="00000000" w:rsidDel="00000000" w:rsidP="00000000" w:rsidRDefault="00000000" w:rsidRPr="00000000" w14:paraId="0000000E">
      <w:pPr>
        <w:numPr>
          <w:ilvl w:val="0"/>
          <w:numId w:val="12"/>
        </w:numPr>
        <w:spacing w:after="240" w:before="0" w:beforeAutospacing="0" w:lineRule="auto"/>
        <w:ind w:left="720" w:hanging="360"/>
      </w:pPr>
      <w:r w:rsidDel="00000000" w:rsidR="00000000" w:rsidRPr="00000000">
        <w:rPr>
          <w:b w:val="1"/>
          <w:rtl w:val="0"/>
        </w:rPr>
        <w:t xml:space="preserve">Eligible Costs</w:t>
      </w:r>
      <w:r w:rsidDel="00000000" w:rsidR="00000000" w:rsidRPr="00000000">
        <w:rPr>
          <w:rtl w:val="0"/>
        </w:rPr>
        <w:t xml:space="preserve">: Fees for classes, sessions, or packages directly related to wellness.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3.2 Reimbursement Limits</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Set limits on reimbursement amounts to manage budget and ensure fairness.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Limits</w:t>
      </w:r>
      <w:r w:rsidDel="00000000" w:rsidR="00000000" w:rsidRPr="00000000">
        <w:rPr>
          <w:rtl w:val="0"/>
        </w:rPr>
        <w:t xml:space="preserve">:</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b w:val="1"/>
          <w:rtl w:val="0"/>
        </w:rPr>
        <w:t xml:space="preserve">Gym Memberships</w:t>
      </w:r>
      <w:r w:rsidDel="00000000" w:rsidR="00000000" w:rsidRPr="00000000">
        <w:rPr>
          <w:rtl w:val="0"/>
        </w:rPr>
        <w:t xml:space="preserve">: Up to $500 per year.</w:t>
      </w:r>
    </w:p>
    <w:p w:rsidR="00000000" w:rsidDel="00000000" w:rsidP="00000000" w:rsidRDefault="00000000" w:rsidRPr="00000000" w14:paraId="00000013">
      <w:pPr>
        <w:numPr>
          <w:ilvl w:val="1"/>
          <w:numId w:val="8"/>
        </w:numPr>
        <w:spacing w:after="240" w:before="0" w:beforeAutospacing="0" w:lineRule="auto"/>
        <w:ind w:left="1440" w:hanging="360"/>
      </w:pPr>
      <w:r w:rsidDel="00000000" w:rsidR="00000000" w:rsidRPr="00000000">
        <w:rPr>
          <w:b w:val="1"/>
          <w:rtl w:val="0"/>
        </w:rPr>
        <w:t xml:space="preserve">Wellness Activities</w:t>
      </w:r>
      <w:r w:rsidDel="00000000" w:rsidR="00000000" w:rsidRPr="00000000">
        <w:rPr>
          <w:rtl w:val="0"/>
        </w:rPr>
        <w:t xml:space="preserve">: Up to $250 per year.</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5ydiw7r3g3x" w:id="1"/>
      <w:bookmarkEnd w:id="1"/>
      <w:r w:rsidDel="00000000" w:rsidR="00000000" w:rsidRPr="00000000">
        <w:rPr>
          <w:b w:val="1"/>
          <w:color w:val="000000"/>
          <w:sz w:val="26"/>
          <w:szCs w:val="26"/>
          <w:rtl w:val="0"/>
        </w:rPr>
        <w:t xml:space="preserve">4. Reimbursement Procedures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4.1 Eligibility</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4.1.1 Employee Eligibility</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All full-time and part-time employees are eligible for reimbursement.</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Requirements</w:t>
      </w:r>
      <w:r w:rsidDel="00000000" w:rsidR="00000000" w:rsidRPr="00000000">
        <w:rPr>
          <w:rtl w:val="0"/>
        </w:rPr>
        <w:t xml:space="preserve">: Must be an active employee at the time of submission.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4.1.2 Eligible Providers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Reimbursement is applicable for services provided by licensed and recognized fitness centers and wellness professionals.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Ensure the provider is legitimate and the services are wellness-related.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4.2 Submission Process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4.2.1 Documentation Required</w:t>
      </w:r>
    </w:p>
    <w:p w:rsidR="00000000" w:rsidDel="00000000" w:rsidP="00000000" w:rsidRDefault="00000000" w:rsidRPr="00000000" w14:paraId="0000001F">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Submit necessary documentation for reimbursement approval.</w:t>
      </w:r>
    </w:p>
    <w:p w:rsidR="00000000" w:rsidDel="00000000" w:rsidP="00000000" w:rsidRDefault="00000000" w:rsidRPr="00000000" w14:paraId="00000020">
      <w:pPr>
        <w:numPr>
          <w:ilvl w:val="0"/>
          <w:numId w:val="14"/>
        </w:numPr>
        <w:spacing w:after="0" w:afterAutospacing="0" w:before="0" w:beforeAutospacing="0" w:lineRule="auto"/>
        <w:ind w:left="720" w:hanging="360"/>
      </w:pPr>
      <w:r w:rsidDel="00000000" w:rsidR="00000000" w:rsidRPr="00000000">
        <w:rPr>
          <w:b w:val="1"/>
          <w:rtl w:val="0"/>
        </w:rPr>
        <w:t xml:space="preserve">Required Documents</w:t>
      </w:r>
      <w:r w:rsidDel="00000000" w:rsidR="00000000" w:rsidRPr="00000000">
        <w:rPr>
          <w:rtl w:val="0"/>
        </w:rPr>
        <w:t xml:space="preserve">:</w:t>
      </w:r>
    </w:p>
    <w:p w:rsidR="00000000" w:rsidDel="00000000" w:rsidP="00000000" w:rsidRDefault="00000000" w:rsidRPr="00000000" w14:paraId="00000021">
      <w:pPr>
        <w:numPr>
          <w:ilvl w:val="1"/>
          <w:numId w:val="14"/>
        </w:numPr>
        <w:spacing w:after="0" w:afterAutospacing="0" w:before="0" w:beforeAutospacing="0" w:lineRule="auto"/>
        <w:ind w:left="1440" w:hanging="360"/>
      </w:pPr>
      <w:r w:rsidDel="00000000" w:rsidR="00000000" w:rsidRPr="00000000">
        <w:rPr>
          <w:b w:val="1"/>
          <w:rtl w:val="0"/>
        </w:rPr>
        <w:t xml:space="preserve">Receipt</w:t>
      </w:r>
      <w:r w:rsidDel="00000000" w:rsidR="00000000" w:rsidRPr="00000000">
        <w:rPr>
          <w:rtl w:val="0"/>
        </w:rPr>
        <w:t xml:space="preserve">: Original receipt showing the amount paid.</w:t>
      </w:r>
    </w:p>
    <w:p w:rsidR="00000000" w:rsidDel="00000000" w:rsidP="00000000" w:rsidRDefault="00000000" w:rsidRPr="00000000" w14:paraId="00000022">
      <w:pPr>
        <w:numPr>
          <w:ilvl w:val="1"/>
          <w:numId w:val="14"/>
        </w:numPr>
        <w:spacing w:after="0" w:afterAutospacing="0" w:before="0" w:beforeAutospacing="0" w:lineRule="auto"/>
        <w:ind w:left="1440" w:hanging="360"/>
      </w:pPr>
      <w:r w:rsidDel="00000000" w:rsidR="00000000" w:rsidRPr="00000000">
        <w:rPr>
          <w:b w:val="1"/>
          <w:rtl w:val="0"/>
        </w:rPr>
        <w:t xml:space="preserve">Proof of Payment</w:t>
      </w:r>
      <w:r w:rsidDel="00000000" w:rsidR="00000000" w:rsidRPr="00000000">
        <w:rPr>
          <w:rtl w:val="0"/>
        </w:rPr>
        <w:t xml:space="preserve">: Credit card statement or bank statement if receipt is not available.</w:t>
      </w:r>
    </w:p>
    <w:p w:rsidR="00000000" w:rsidDel="00000000" w:rsidP="00000000" w:rsidRDefault="00000000" w:rsidRPr="00000000" w14:paraId="00000023">
      <w:pPr>
        <w:numPr>
          <w:ilvl w:val="1"/>
          <w:numId w:val="14"/>
        </w:numPr>
        <w:spacing w:after="240" w:before="0" w:beforeAutospacing="0" w:lineRule="auto"/>
        <w:ind w:left="1440" w:hanging="360"/>
      </w:pPr>
      <w:r w:rsidDel="00000000" w:rsidR="00000000" w:rsidRPr="00000000">
        <w:rPr>
          <w:b w:val="1"/>
          <w:rtl w:val="0"/>
        </w:rPr>
        <w:t xml:space="preserve">Membership/Participation Confirmation</w:t>
      </w:r>
      <w:r w:rsidDel="00000000" w:rsidR="00000000" w:rsidRPr="00000000">
        <w:rPr>
          <w:rtl w:val="0"/>
        </w:rPr>
        <w:t xml:space="preserve">: Proof of membership or participation in wellness activities.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4.2.2 Submission Procedure</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Online Submission</w:t>
      </w:r>
      <w:r w:rsidDel="00000000" w:rsidR="00000000" w:rsidRPr="00000000">
        <w:rPr>
          <w:rtl w:val="0"/>
        </w:rPr>
        <w:t xml:space="preserv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company’s reimbursement portal.</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Gym or Wellness Reimbursement Form with details of the expense.</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Upload Documents</w:t>
      </w:r>
      <w:r w:rsidDel="00000000" w:rsidR="00000000" w:rsidRPr="00000000">
        <w:rPr>
          <w:rtl w:val="0"/>
        </w:rPr>
        <w:t xml:space="preserve">: Attach scanned copies of receipts and other required documents.</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b w:val="1"/>
          <w:rtl w:val="0"/>
        </w:rPr>
        <w:t xml:space="preserve">Submit</w:t>
      </w:r>
      <w:r w:rsidDel="00000000" w:rsidR="00000000" w:rsidRPr="00000000">
        <w:rPr>
          <w:rtl w:val="0"/>
        </w:rPr>
        <w:t xml:space="preserve">: Submit the form for processing.</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Manual Submission</w:t>
      </w:r>
      <w:r w:rsidDel="00000000" w:rsidR="00000000" w:rsidRPr="00000000">
        <w:rPr>
          <w:rtl w:val="0"/>
        </w:rPr>
        <w:t xml:space="preserv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Gym or Wellness Reimbursement Form.</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b w:val="1"/>
          <w:rtl w:val="0"/>
        </w:rPr>
        <w:t xml:space="preserve">Attach Documents</w:t>
      </w:r>
      <w:r w:rsidDel="00000000" w:rsidR="00000000" w:rsidRPr="00000000">
        <w:rPr>
          <w:rtl w:val="0"/>
        </w:rPr>
        <w:t xml:space="preserve">: Include original receipts and proof of payment.</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b w:val="1"/>
          <w:rtl w:val="0"/>
        </w:rPr>
        <w:t xml:space="preserve">Submit to HR</w:t>
      </w:r>
      <w:r w:rsidDel="00000000" w:rsidR="00000000" w:rsidRPr="00000000">
        <w:rPr>
          <w:rtl w:val="0"/>
        </w:rPr>
        <w:t xml:space="preserve">: Hand-deliver or mail the completed form and documents to the HR department.</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4.3 Approval Process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4.3.1 Review</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HR reviews the submitted reimbursement requests for accuracy and eligibility.</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Verify Documents</w:t>
      </w:r>
      <w:r w:rsidDel="00000000" w:rsidR="00000000" w:rsidRPr="00000000">
        <w:rPr>
          <w:rtl w:val="0"/>
        </w:rPr>
        <w:t xml:space="preserve">: Check receipts, proof of payment, and eligibility.</w:t>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b w:val="1"/>
          <w:rtl w:val="0"/>
        </w:rPr>
        <w:t xml:space="preserve">Approve or Deny</w:t>
      </w:r>
      <w:r w:rsidDel="00000000" w:rsidR="00000000" w:rsidRPr="00000000">
        <w:rPr>
          <w:rtl w:val="0"/>
        </w:rPr>
        <w:t xml:space="preserve">: Approve or deny the request based on compliance with policy limits and requirements.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4.3.2 Reimbursement Payment</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Process the approved reimbursement requests.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Process Payment</w:t>
      </w:r>
      <w:r w:rsidDel="00000000" w:rsidR="00000000" w:rsidRPr="00000000">
        <w:rPr>
          <w:rtl w:val="0"/>
        </w:rPr>
        <w:t xml:space="preserve">: Issue reimbursement through direct deposit or payroll.</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b w:val="1"/>
          <w:rtl w:val="0"/>
        </w:rPr>
        <w:t xml:space="preserve">Notify Employee</w:t>
      </w:r>
      <w:r w:rsidDel="00000000" w:rsidR="00000000" w:rsidRPr="00000000">
        <w:rPr>
          <w:rtl w:val="0"/>
        </w:rPr>
        <w:t xml:space="preserve">: Inform the employee of the reimbursement status and payment details.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jc2sxwar3q05" w:id="2"/>
      <w:bookmarkEnd w:id="2"/>
      <w:r w:rsidDel="00000000" w:rsidR="00000000" w:rsidRPr="00000000">
        <w:rPr>
          <w:b w:val="1"/>
          <w:color w:val="000000"/>
          <w:sz w:val="26"/>
          <w:szCs w:val="26"/>
          <w:rtl w:val="0"/>
        </w:rPr>
        <w:t xml:space="preserve">5. Tax Implications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5.1 Taxable Benefits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Reimbursements for gym memberships and wellness activities may have tax implications.</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b w:val="1"/>
          <w:rtl w:val="0"/>
        </w:rPr>
        <w:t xml:space="preserve">Report on W-2</w:t>
      </w:r>
      <w:r w:rsidDel="00000000" w:rsidR="00000000" w:rsidRPr="00000000">
        <w:rPr>
          <w:rtl w:val="0"/>
        </w:rPr>
        <w:t xml:space="preserve">: Report reimbursements as taxable benefits on the employee’s W-2 form, if applicable.</w:t>
      </w:r>
    </w:p>
    <w:p w:rsidR="00000000" w:rsidDel="00000000" w:rsidP="00000000" w:rsidRDefault="00000000" w:rsidRPr="00000000" w14:paraId="0000003F">
      <w:pPr>
        <w:numPr>
          <w:ilvl w:val="1"/>
          <w:numId w:val="9"/>
        </w:numPr>
        <w:spacing w:after="240" w:before="0" w:beforeAutospacing="0" w:lineRule="auto"/>
        <w:ind w:left="1440" w:hanging="360"/>
      </w:pPr>
      <w:r w:rsidDel="00000000" w:rsidR="00000000" w:rsidRPr="00000000">
        <w:rPr>
          <w:b w:val="1"/>
          <w:rtl w:val="0"/>
        </w:rPr>
        <w:t xml:space="preserve">Consult HR</w:t>
      </w:r>
      <w:r w:rsidDel="00000000" w:rsidR="00000000" w:rsidRPr="00000000">
        <w:rPr>
          <w:rtl w:val="0"/>
        </w:rPr>
        <w:t xml:space="preserve">: Contact HR for clarification on tax implications and reporting.</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a9d3kt7zu78" w:id="3"/>
      <w:bookmarkEnd w:id="3"/>
      <w:r w:rsidDel="00000000" w:rsidR="00000000" w:rsidRPr="00000000">
        <w:rPr>
          <w:b w:val="1"/>
          <w:color w:val="000000"/>
          <w:sz w:val="26"/>
          <w:szCs w:val="26"/>
          <w:rtl w:val="0"/>
        </w:rPr>
        <w:t xml:space="preserve">6. Contact Information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6.1 Human Resources Department</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reimbursement requests, provide information on the policy, and handle queries.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Linda Carter, HR Manager</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47">
      <w:pPr>
        <w:numPr>
          <w:ilvl w:val="1"/>
          <w:numId w:val="7"/>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6.2 Finance Department</w:t>
      </w:r>
    </w:p>
    <w:p w:rsidR="00000000" w:rsidDel="00000000" w:rsidP="00000000" w:rsidRDefault="00000000" w:rsidRPr="00000000" w14:paraId="00000049">
      <w:pPr>
        <w:numPr>
          <w:ilvl w:val="0"/>
          <w:numId w:val="10"/>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Process reimbursements and handle payment-related queries.</w:t>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B">
      <w:pPr>
        <w:numPr>
          <w:ilvl w:val="1"/>
          <w:numId w:val="10"/>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David Lee, Finance Specialist</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678-9012</w:t>
      </w:r>
    </w:p>
    <w:p w:rsidR="00000000" w:rsidDel="00000000" w:rsidP="00000000" w:rsidRDefault="00000000" w:rsidRPr="00000000" w14:paraId="0000004D">
      <w:pPr>
        <w:numPr>
          <w:ilvl w:val="1"/>
          <w:numId w:val="10"/>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finance@companyk.com</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8vvz4zywa3qq" w:id="4"/>
      <w:bookmarkEnd w:id="4"/>
      <w:r w:rsidDel="00000000" w:rsidR="00000000" w:rsidRPr="00000000">
        <w:rPr>
          <w:b w:val="1"/>
          <w:color w:val="000000"/>
          <w:sz w:val="26"/>
          <w:szCs w:val="26"/>
          <w:rtl w:val="0"/>
        </w:rPr>
        <w:t xml:space="preserve">7. Continuous Improvement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7.1 Feedback</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Collect feedback on the reimbursement process to improve efficiency and employee satisfaction.</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b w:val="1"/>
          <w:rtl w:val="0"/>
        </w:rPr>
        <w:t xml:space="preserve">Surveys</w:t>
      </w:r>
      <w:r w:rsidDel="00000000" w:rsidR="00000000" w:rsidRPr="00000000">
        <w:rPr>
          <w:rtl w:val="0"/>
        </w:rPr>
        <w:t xml:space="preserve">: Distribute surveys to employees who have used the reimbursement program.</w:t>
      </w:r>
    </w:p>
    <w:p w:rsidR="00000000" w:rsidDel="00000000" w:rsidP="00000000" w:rsidRDefault="00000000" w:rsidRPr="00000000" w14:paraId="00000054">
      <w:pPr>
        <w:numPr>
          <w:ilvl w:val="1"/>
          <w:numId w:val="11"/>
        </w:numPr>
        <w:spacing w:after="24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Analyze feedback to identify areas for improvement.</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7.2 Policy Review</w:t>
      </w:r>
    </w:p>
    <w:p w:rsidR="00000000" w:rsidDel="00000000" w:rsidP="00000000" w:rsidRDefault="00000000" w:rsidRPr="00000000" w14:paraId="00000056">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Regularly review and update the reimbursement policy to ensure it meets employee needs and organizational goals.</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58">
      <w:pPr>
        <w:numPr>
          <w:ilvl w:val="1"/>
          <w:numId w:val="13"/>
        </w:numPr>
        <w:spacing w:after="0" w:afterAutospacing="0" w:before="0" w:beforeAutospacing="0" w:lineRule="auto"/>
        <w:ind w:left="1440" w:hanging="360"/>
      </w:pPr>
      <w:r w:rsidDel="00000000" w:rsidR="00000000" w:rsidRPr="00000000">
        <w:rPr>
          <w:b w:val="1"/>
          <w:rtl w:val="0"/>
        </w:rPr>
        <w:t xml:space="preserve">Review Policy</w:t>
      </w:r>
      <w:r w:rsidDel="00000000" w:rsidR="00000000" w:rsidRPr="00000000">
        <w:rPr>
          <w:rtl w:val="0"/>
        </w:rPr>
        <w:t xml:space="preserve">: Assess the policy’s effectiveness and relevance.</w:t>
      </w:r>
    </w:p>
    <w:p w:rsidR="00000000" w:rsidDel="00000000" w:rsidP="00000000" w:rsidRDefault="00000000" w:rsidRPr="00000000" w14:paraId="00000059">
      <w:pPr>
        <w:numPr>
          <w:ilvl w:val="1"/>
          <w:numId w:val="13"/>
        </w:numPr>
        <w:spacing w:after="240" w:before="0" w:beforeAutospacing="0" w:lineRule="auto"/>
        <w:ind w:left="1440" w:hanging="360"/>
      </w:pPr>
      <w:r w:rsidDel="00000000" w:rsidR="00000000" w:rsidRPr="00000000">
        <w:rPr>
          <w:b w:val="1"/>
          <w:rtl w:val="0"/>
        </w:rPr>
        <w:t xml:space="preserve">Update</w:t>
      </w:r>
      <w:r w:rsidDel="00000000" w:rsidR="00000000" w:rsidRPr="00000000">
        <w:rPr>
          <w:rtl w:val="0"/>
        </w:rPr>
        <w:t xml:space="preserve">: Make necessary adjustments and communicate changes to employees.</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