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Pension and Retirement Plans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pension and retirement plans offered by Company K. The goal is to provide employees with clear information about their retirement benefits, including plan options, contributions, and eligibility.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eligible employees of Company K, including full-time, part-time, temporary, and contract workers, as specified in their employment agreements and plan details.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vbvifhcuz1m" w:id="0"/>
      <w:bookmarkEnd w:id="0"/>
      <w:r w:rsidDel="00000000" w:rsidR="00000000" w:rsidRPr="00000000">
        <w:rPr>
          <w:b w:val="1"/>
          <w:color w:val="000000"/>
          <w:sz w:val="26"/>
          <w:szCs w:val="26"/>
          <w:rtl w:val="0"/>
        </w:rPr>
        <w:t xml:space="preserve">3. Pension and Retirement Plan Options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3.1 401(k) Plan</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Available to all full-time employees who meet the eligibility criteria outlined in the employee handbook.</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Contributions</w:t>
      </w:r>
      <w:r w:rsidDel="00000000" w:rsidR="00000000" w:rsidRPr="00000000">
        <w:rPr>
          <w:rtl w:val="0"/>
        </w:rPr>
        <w:t xml:space="preserve">: Employees can make pre-tax or Roth (after-tax) contributions to their 401(k) accounts.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Employer Match</w:t>
      </w:r>
      <w:r w:rsidDel="00000000" w:rsidR="00000000" w:rsidRPr="00000000">
        <w:rPr>
          <w:rtl w:val="0"/>
        </w:rPr>
        <w:t xml:space="preserve">: Company K offers a matching contribution up to a specified percentage of the employee’s salary, as detailed in the plan documents.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Vesting</w:t>
      </w:r>
      <w:r w:rsidDel="00000000" w:rsidR="00000000" w:rsidRPr="00000000">
        <w:rPr>
          <w:rtl w:val="0"/>
        </w:rPr>
        <w:t xml:space="preserve">: Employees are vested in employer contributions according to the vesting schedule outlined in the plan documents.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Withdrawals</w:t>
      </w:r>
      <w:r w:rsidDel="00000000" w:rsidR="00000000" w:rsidRPr="00000000">
        <w:rPr>
          <w:rtl w:val="0"/>
        </w:rPr>
        <w:t xml:space="preserve">: Withdrawals are subject to federal regulations, with options for loans, in-service withdrawals, and distributions upon retirement or termination.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3.2 Pension Plan</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Offered to employees who have met the eligibility requirements for the defined benefit pension plan.</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Provides a guaranteed monthly benefit upon retirement, based on a formula that includes years of service and average salary.</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Accrual</w:t>
      </w:r>
      <w:r w:rsidDel="00000000" w:rsidR="00000000" w:rsidRPr="00000000">
        <w:rPr>
          <w:rtl w:val="0"/>
        </w:rPr>
        <w:t xml:space="preserve">: Benefits accrue based on the employee’s length of service and salary history.</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Vesting</w:t>
      </w:r>
      <w:r w:rsidDel="00000000" w:rsidR="00000000" w:rsidRPr="00000000">
        <w:rPr>
          <w:rtl w:val="0"/>
        </w:rPr>
        <w:t xml:space="preserve">: Employees become vested in the pension plan after completing the required number of years of service.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3.3 Retirement Savings Plan (RSP)</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Available to employees who participate in the company's RSP program.</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Contributions</w:t>
      </w:r>
      <w:r w:rsidDel="00000000" w:rsidR="00000000" w:rsidRPr="00000000">
        <w:rPr>
          <w:rtl w:val="0"/>
        </w:rPr>
        <w:t xml:space="preserve">: Employees can make contributions to their RSP accounts, which are tax-deferred.</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Employer Contributions</w:t>
      </w:r>
      <w:r w:rsidDel="00000000" w:rsidR="00000000" w:rsidRPr="00000000">
        <w:rPr>
          <w:rtl w:val="0"/>
        </w:rPr>
        <w:t xml:space="preserve">: Company K may offer discretionary contributions to employees’ RSP accounts.</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Investment Options</w:t>
      </w:r>
      <w:r w:rsidDel="00000000" w:rsidR="00000000" w:rsidRPr="00000000">
        <w:rPr>
          <w:rtl w:val="0"/>
        </w:rPr>
        <w:t xml:space="preserve">: Employees can choose from a range of investment options provided by the plan administrator.</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3.4 Health Savings Accounts (HSAs)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Eligibility</w:t>
      </w:r>
      <w:r w:rsidDel="00000000" w:rsidR="00000000" w:rsidRPr="00000000">
        <w:rPr>
          <w:rtl w:val="0"/>
        </w:rPr>
        <w:t xml:space="preserve">: Available to employees enrolled in high-deductible health plans (HDHPs).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Contributions</w:t>
      </w:r>
      <w:r w:rsidDel="00000000" w:rsidR="00000000" w:rsidRPr="00000000">
        <w:rPr>
          <w:rtl w:val="0"/>
        </w:rPr>
        <w:t xml:space="preserve">: Employees can contribute pre-tax funds to their HSAs for qualified medical expenses.</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Employer Contributions</w:t>
      </w:r>
      <w:r w:rsidDel="00000000" w:rsidR="00000000" w:rsidRPr="00000000">
        <w:rPr>
          <w:rtl w:val="0"/>
        </w:rPr>
        <w:t xml:space="preserve">: Company K may make contributions to employees’ HSAs, as outlined in the benefits plan.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loc72tvic2v" w:id="1"/>
      <w:bookmarkEnd w:id="1"/>
      <w:r w:rsidDel="00000000" w:rsidR="00000000" w:rsidRPr="00000000">
        <w:rPr>
          <w:b w:val="1"/>
          <w:color w:val="000000"/>
          <w:sz w:val="26"/>
          <w:szCs w:val="26"/>
          <w:rtl w:val="0"/>
        </w:rPr>
        <w:t xml:space="preserve">4. Enrollment and Participation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4.1 Enrollment</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Initial Enrollment</w:t>
      </w:r>
      <w:r w:rsidDel="00000000" w:rsidR="00000000" w:rsidRPr="00000000">
        <w:rPr>
          <w:rtl w:val="0"/>
        </w:rPr>
        <w:t xml:space="preserve">: Employees may enroll in the retirement plans during their initial eligibility period or open enrollment periods.</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Changes</w:t>
      </w:r>
      <w:r w:rsidDel="00000000" w:rsidR="00000000" w:rsidRPr="00000000">
        <w:rPr>
          <w:rtl w:val="0"/>
        </w:rPr>
        <w:t xml:space="preserve">: Employees can make changes to their contribution amounts or investment choices during specified enrollment periods.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4.2 Participation</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Automatic Enrollment</w:t>
      </w:r>
      <w:r w:rsidDel="00000000" w:rsidR="00000000" w:rsidRPr="00000000">
        <w:rPr>
          <w:rtl w:val="0"/>
        </w:rPr>
        <w:t xml:space="preserve">: New employees may be automatically enrolled in the 401(k) plan, with the option to opt out or adjust their contribution levels.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Regular Reviews</w:t>
      </w:r>
      <w:r w:rsidDel="00000000" w:rsidR="00000000" w:rsidRPr="00000000">
        <w:rPr>
          <w:rtl w:val="0"/>
        </w:rPr>
        <w:t xml:space="preserve">: Employees are encouraged to review their retirement plan participation and make adjustments as needed.</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jdvoku28kwmi" w:id="2"/>
      <w:bookmarkEnd w:id="2"/>
      <w:r w:rsidDel="00000000" w:rsidR="00000000" w:rsidRPr="00000000">
        <w:rPr>
          <w:b w:val="1"/>
          <w:color w:val="000000"/>
          <w:sz w:val="26"/>
          <w:szCs w:val="26"/>
          <w:rtl w:val="0"/>
        </w:rPr>
        <w:t xml:space="preserve">5. Retirement Plan Administration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5.1 Plan Administrator</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Responsibilities</w:t>
      </w:r>
      <w:r w:rsidDel="00000000" w:rsidR="00000000" w:rsidRPr="00000000">
        <w:rPr>
          <w:rtl w:val="0"/>
        </w:rPr>
        <w:t xml:space="preserve">: The plan administrator manages the retirement plans, including contributions, investments, and distributions.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Employees can contact the plan administrator for assistance with account management, beneficiary designations, and plan information.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5.2 Statements and Reports</w:t>
      </w:r>
    </w:p>
    <w:p w:rsidR="00000000" w:rsidDel="00000000" w:rsidP="00000000" w:rsidRDefault="00000000" w:rsidRPr="00000000" w14:paraId="0000002A">
      <w:pPr>
        <w:numPr>
          <w:ilvl w:val="0"/>
          <w:numId w:val="13"/>
        </w:numPr>
        <w:spacing w:after="0" w:afterAutospacing="0" w:before="240" w:lineRule="auto"/>
        <w:ind w:left="720" w:hanging="360"/>
      </w:pPr>
      <w:r w:rsidDel="00000000" w:rsidR="00000000" w:rsidRPr="00000000">
        <w:rPr>
          <w:b w:val="1"/>
          <w:rtl w:val="0"/>
        </w:rPr>
        <w:t xml:space="preserve">Account Statements</w:t>
      </w:r>
      <w:r w:rsidDel="00000000" w:rsidR="00000000" w:rsidRPr="00000000">
        <w:rPr>
          <w:rtl w:val="0"/>
        </w:rPr>
        <w:t xml:space="preserve">: Employees receive regular statements detailing their account balances, contributions, and investment performance.</w:t>
      </w:r>
    </w:p>
    <w:p w:rsidR="00000000" w:rsidDel="00000000" w:rsidP="00000000" w:rsidRDefault="00000000" w:rsidRPr="00000000" w14:paraId="0000002B">
      <w:pPr>
        <w:numPr>
          <w:ilvl w:val="0"/>
          <w:numId w:val="13"/>
        </w:numPr>
        <w:spacing w:after="240" w:before="0" w:beforeAutospacing="0" w:lineRule="auto"/>
        <w:ind w:left="720" w:hanging="360"/>
      </w:pPr>
      <w:r w:rsidDel="00000000" w:rsidR="00000000" w:rsidRPr="00000000">
        <w:rPr>
          <w:b w:val="1"/>
          <w:rtl w:val="0"/>
        </w:rPr>
        <w:t xml:space="preserve">Annual Reports</w:t>
      </w:r>
      <w:r w:rsidDel="00000000" w:rsidR="00000000" w:rsidRPr="00000000">
        <w:rPr>
          <w:rtl w:val="0"/>
        </w:rPr>
        <w:t xml:space="preserve">: The company provides annual reports summarizing the performance of the retirement plans and any changes to plan provisions.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629bst88xuow" w:id="3"/>
      <w:bookmarkEnd w:id="3"/>
      <w:r w:rsidDel="00000000" w:rsidR="00000000" w:rsidRPr="00000000">
        <w:rPr>
          <w:b w:val="1"/>
          <w:color w:val="000000"/>
          <w:sz w:val="26"/>
          <w:szCs w:val="26"/>
          <w:rtl w:val="0"/>
        </w:rPr>
        <w:t xml:space="preserve">6. Retirement Planning and Resources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6.1 Financial Planning</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b w:val="1"/>
          <w:rtl w:val="0"/>
        </w:rPr>
        <w:t xml:space="preserve">Resources</w:t>
      </w:r>
      <w:r w:rsidDel="00000000" w:rsidR="00000000" w:rsidRPr="00000000">
        <w:rPr>
          <w:rtl w:val="0"/>
        </w:rPr>
        <w:t xml:space="preserve">: Company K provides access to financial planning resources and tools to help employees plan for retirement.</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b w:val="1"/>
          <w:rtl w:val="0"/>
        </w:rPr>
        <w:t xml:space="preserve">Consultations</w:t>
      </w:r>
      <w:r w:rsidDel="00000000" w:rsidR="00000000" w:rsidRPr="00000000">
        <w:rPr>
          <w:rtl w:val="0"/>
        </w:rPr>
        <w:t xml:space="preserve">: Employees may have access to financial advisors or retirement planning seminars.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6.2 Education</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b w:val="1"/>
          <w:rtl w:val="0"/>
        </w:rPr>
        <w:t xml:space="preserve">Workshops</w:t>
      </w:r>
      <w:r w:rsidDel="00000000" w:rsidR="00000000" w:rsidRPr="00000000">
        <w:rPr>
          <w:rtl w:val="0"/>
        </w:rPr>
        <w:t xml:space="preserve">: Regular workshops and informational sessions are conducted to educate employees about retirement planning and investment options.</w:t>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b w:val="1"/>
          <w:rtl w:val="0"/>
        </w:rPr>
        <w:t xml:space="preserve">Materials</w:t>
      </w:r>
      <w:r w:rsidDel="00000000" w:rsidR="00000000" w:rsidRPr="00000000">
        <w:rPr>
          <w:rtl w:val="0"/>
        </w:rPr>
        <w:t xml:space="preserve">: Educational materials and resources are available through the company’s intranet or HR department.</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9516thieyt1" w:id="4"/>
      <w:bookmarkEnd w:id="4"/>
      <w:r w:rsidDel="00000000" w:rsidR="00000000" w:rsidRPr="00000000">
        <w:rPr>
          <w:b w:val="1"/>
          <w:color w:val="000000"/>
          <w:sz w:val="26"/>
          <w:szCs w:val="26"/>
          <w:rtl w:val="0"/>
        </w:rPr>
        <w:t xml:space="preserve">7. Retirement and Withdrawal Procedures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7.1 Retirement</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Notification</w:t>
      </w:r>
      <w:r w:rsidDel="00000000" w:rsidR="00000000" w:rsidRPr="00000000">
        <w:rPr>
          <w:rtl w:val="0"/>
        </w:rPr>
        <w:t xml:space="preserve">: Employees must provide advance notice of their intent to retire, as specified in the retirement plan documents.</w:t>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The HR department will assist with the retirement process, including benefit calculations and distribution options.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7.2 Withdrawals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Requests</w:t>
      </w:r>
      <w:r w:rsidDel="00000000" w:rsidR="00000000" w:rsidRPr="00000000">
        <w:rPr>
          <w:rtl w:val="0"/>
        </w:rPr>
        <w:t xml:space="preserve">: Employees can request withdrawals or distributions according to plan rules and federal regulations.</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Forms</w:t>
      </w:r>
      <w:r w:rsidDel="00000000" w:rsidR="00000000" w:rsidRPr="00000000">
        <w:rPr>
          <w:rtl w:val="0"/>
        </w:rPr>
        <w:t xml:space="preserve">: Withdrawal requests must be submitted using the appropriate forms provided by the plan administrator.</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tgs3btv4jrz4" w:id="5"/>
      <w:bookmarkEnd w:id="5"/>
      <w:r w:rsidDel="00000000" w:rsidR="00000000" w:rsidRPr="00000000">
        <w:rPr>
          <w:b w:val="1"/>
          <w:color w:val="000000"/>
          <w:sz w:val="26"/>
          <w:szCs w:val="26"/>
          <w:rtl w:val="0"/>
        </w:rPr>
        <w:t xml:space="preserve">8. Contact Information</w:t>
      </w:r>
    </w:p>
    <w:p w:rsidR="00000000" w:rsidDel="00000000" w:rsidP="00000000" w:rsidRDefault="00000000" w:rsidRPr="00000000" w14:paraId="0000003E">
      <w:pPr>
        <w:spacing w:after="240" w:before="240" w:lineRule="auto"/>
        <w:rPr/>
      </w:pPr>
      <w:r w:rsidDel="00000000" w:rsidR="00000000" w:rsidRPr="00000000">
        <w:rPr>
          <w:rtl w:val="0"/>
        </w:rPr>
        <w:t xml:space="preserve">For questions or further information regarding pension and retirement plans, employees should contact:</w:t>
      </w:r>
    </w:p>
    <w:p w:rsidR="00000000" w:rsidDel="00000000" w:rsidP="00000000" w:rsidRDefault="00000000" w:rsidRPr="00000000" w14:paraId="0000003F">
      <w:pPr>
        <w:numPr>
          <w:ilvl w:val="0"/>
          <w:numId w:val="12"/>
        </w:numPr>
        <w:spacing w:after="0" w:afterAutospacing="0" w:before="240" w:lineRule="auto"/>
        <w:ind w:left="720" w:hanging="360"/>
      </w:pPr>
      <w:r w:rsidDel="00000000" w:rsidR="00000000" w:rsidRPr="00000000">
        <w:rPr>
          <w:b w:val="1"/>
          <w:rtl w:val="0"/>
        </w:rPr>
        <w:t xml:space="preserve">HR Department</w:t>
      </w:r>
      <w:r w:rsidDel="00000000" w:rsidR="00000000" w:rsidRPr="00000000">
        <w:rPr>
          <w:rtl w:val="0"/>
        </w:rPr>
        <w:t xml:space="preserve">: hr-support@companyk.com</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b w:val="1"/>
          <w:rtl w:val="0"/>
        </w:rPr>
        <w:t xml:space="preserve">Plan Administrator</w:t>
      </w:r>
      <w:r w:rsidDel="00000000" w:rsidR="00000000" w:rsidRPr="00000000">
        <w:rPr>
          <w:rtl w:val="0"/>
        </w:rPr>
        <w:t xml:space="preserve">: retirement-admin@companyk.com</w:t>
      </w:r>
    </w:p>
    <w:p w:rsidR="00000000" w:rsidDel="00000000" w:rsidP="00000000" w:rsidRDefault="00000000" w:rsidRPr="00000000" w14:paraId="00000041">
      <w:pPr>
        <w:numPr>
          <w:ilvl w:val="0"/>
          <w:numId w:val="12"/>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[HR or Plan Administrator Phone Number]</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