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outline w:val="0"/>
          <w:color w:val="2563eb"/>
          <w:sz w:val="20"/>
          <w:szCs w:val="20"/>
          <w:u w:color="2563eb"/>
          <w:rtl w:val="0"/>
          <w14:textFill>
            <w14:solidFill>
              <w14:srgbClr w14:val="2563EB"/>
            </w14:solidFill>
          </w14:textFill>
        </w:rPr>
        <w:t>PHASE 4: PROJECT DESIGN PHASE</w:t>
      </w:r>
      <w:r>
        <w:rPr>
          <w:outline w:val="0"/>
          <w:color w:val="2563eb"/>
          <w:sz w:val="20"/>
          <w:szCs w:val="20"/>
          <w:u w:color="2563eb"/>
          <w14:textFill>
            <w14:solidFill>
              <w14:srgbClr w14:val="2563EB"/>
            </w14:solidFill>
          </w14:textFill>
        </w:rPr>
        <w:br w:type="textWrapping"/>
      </w:r>
      <w:r>
        <w:rPr>
          <w:outline w:val="0"/>
          <w:color w:val="0f172a"/>
          <w:sz w:val="32"/>
          <w:szCs w:val="32"/>
          <w:u w:color="0f172a"/>
          <w:rtl w:val="0"/>
          <w:lang w:val="de-DE"/>
          <w14:textFill>
            <w14:solidFill>
              <w14:srgbClr w14:val="0F172A"/>
            </w14:solidFill>
          </w14:textFill>
        </w:rPr>
        <w:t xml:space="preserve">Problem </w:t>
      </w:r>
      <w:r>
        <w:rPr>
          <w:outline w:val="0"/>
          <w:color w:val="0f172a"/>
          <w:sz w:val="32"/>
          <w:szCs w:val="32"/>
          <w:u w:color="0f172a"/>
          <w:rtl w:val="0"/>
          <w14:textFill>
            <w14:solidFill>
              <w14:srgbClr w14:val="0F172A"/>
            </w14:solidFill>
          </w14:textFill>
        </w:rPr>
        <w:t xml:space="preserve">– </w:t>
      </w:r>
      <w:r>
        <w:rPr>
          <w:outline w:val="0"/>
          <w:color w:val="0f172a"/>
          <w:sz w:val="32"/>
          <w:szCs w:val="32"/>
          <w:u w:color="0f172a"/>
          <w:rtl w:val="0"/>
          <w:lang w:val="de-DE"/>
          <w14:textFill>
            <w14:solidFill>
              <w14:srgbClr w14:val="0F172A"/>
            </w14:solidFill>
          </w14:textFill>
        </w:rPr>
        <w:t>Solution Fit Template</w:t>
      </w:r>
    </w:p>
    <w:tbl>
      <w:tblPr>
        <w:tblW w:w="993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240"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1f5f9"/>
            <w:tcMar>
              <w:top w:type="dxa" w:w="80"/>
              <w:left w:type="dxa" w:w="80"/>
              <w:bottom w:type="dxa" w:w="80"/>
              <w:right w:type="dxa" w:w="80"/>
            </w:tcMar>
            <w:vAlign w:val="top"/>
          </w:tcPr>
          <w:p>
            <w:pPr>
              <w:pStyle w:val="Body A"/>
            </w:pPr>
            <w:r>
              <w:rPr>
                <w:sz w:val="19"/>
                <w:szCs w:val="19"/>
                <w:shd w:val="nil" w:color="auto" w:fill="auto"/>
                <w:rtl w:val="0"/>
                <w:lang w:val="en-US"/>
              </w:rPr>
              <w:t>Date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9"/>
                <w:szCs w:val="19"/>
                <w:shd w:val="nil" w:color="auto" w:fill="auto"/>
                <w:rtl w:val="0"/>
                <w:lang w:val="en-US"/>
              </w:rPr>
              <w:t>20 October 2026</w:t>
            </w:r>
          </w:p>
        </w:tc>
      </w:tr>
      <w:tr>
        <w:tblPrEx>
          <w:shd w:val="clear" w:color="auto" w:fill="ced7e7"/>
        </w:tblPrEx>
        <w:trPr>
          <w:trHeight w:val="250"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1f5f9"/>
            <w:tcMar>
              <w:top w:type="dxa" w:w="80"/>
              <w:left w:type="dxa" w:w="80"/>
              <w:bottom w:type="dxa" w:w="80"/>
              <w:right w:type="dxa" w:w="80"/>
            </w:tcMar>
            <w:vAlign w:val="top"/>
          </w:tcPr>
          <w:p>
            <w:pPr>
              <w:pStyle w:val="Body A"/>
              <w:spacing w:after="0" w:line="240" w:lineRule="auto"/>
            </w:pPr>
            <w:r>
              <w:rPr>
                <w:sz w:val="19"/>
                <w:szCs w:val="19"/>
                <w:shd w:val="nil" w:color="auto" w:fill="auto"/>
                <w:rtl w:val="0"/>
                <w:lang w:val="en-US"/>
              </w:rPr>
              <w:t>Team ID</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60"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1f5f9"/>
            <w:tcMar>
              <w:top w:type="dxa" w:w="80"/>
              <w:left w:type="dxa" w:w="80"/>
              <w:bottom w:type="dxa" w:w="80"/>
              <w:right w:type="dxa" w:w="80"/>
            </w:tcMar>
            <w:vAlign w:val="top"/>
          </w:tcPr>
          <w:p>
            <w:pPr>
              <w:pStyle w:val="Body A"/>
              <w:spacing w:after="0" w:line="240" w:lineRule="auto"/>
            </w:pPr>
            <w:r>
              <w:rPr>
                <w:sz w:val="19"/>
                <w:szCs w:val="19"/>
                <w:shd w:val="nil" w:color="auto" w:fill="auto"/>
                <w:rtl w:val="0"/>
                <w:lang w:val="en-US"/>
              </w:rPr>
              <w:t>Project Name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9"/>
                <w:szCs w:val="19"/>
                <w:shd w:val="nil" w:color="auto" w:fill="auto"/>
                <w:rtl w:val="0"/>
                <w:lang w:val="en-US"/>
              </w:rPr>
              <w:t xml:space="preserve">HotelPro </w:t>
            </w:r>
            <w:r>
              <w:rPr>
                <w:sz w:val="19"/>
                <w:szCs w:val="19"/>
                <w:shd w:val="nil" w:color="auto" w:fill="auto"/>
                <w:rtl w:val="0"/>
                <w:lang w:val="en-US"/>
              </w:rPr>
              <w:t xml:space="preserve">— </w:t>
            </w:r>
            <w:r>
              <w:rPr>
                <w:sz w:val="19"/>
                <w:szCs w:val="19"/>
                <w:shd w:val="nil" w:color="auto" w:fill="auto"/>
                <w:rtl w:val="0"/>
                <w:lang w:val="en-US"/>
              </w:rPr>
              <w:t>Hotel Booking and Management Platform with AI Assistant</w:t>
            </w:r>
          </w:p>
        </w:tc>
      </w:tr>
      <w:tr>
        <w:tblPrEx>
          <w:shd w:val="clear" w:color="auto" w:fill="ced7e7"/>
        </w:tblPrEx>
        <w:trPr>
          <w:trHeight w:val="240"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1f5f9"/>
            <w:tcMar>
              <w:top w:type="dxa" w:w="80"/>
              <w:left w:type="dxa" w:w="80"/>
              <w:bottom w:type="dxa" w:w="80"/>
              <w:right w:type="dxa" w:w="80"/>
            </w:tcMar>
            <w:vAlign w:val="top"/>
          </w:tcPr>
          <w:p>
            <w:pPr>
              <w:pStyle w:val="Body A"/>
              <w:spacing w:after="0" w:line="240" w:lineRule="auto"/>
            </w:pPr>
            <w:r>
              <w:rPr>
                <w:sz w:val="19"/>
                <w:szCs w:val="19"/>
                <w:shd w:val="nil" w:color="auto" w:fill="auto"/>
                <w:rtl w:val="0"/>
                <w:lang w:val="en-US"/>
              </w:rPr>
              <w:t>Maximum Marks</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z w:val="19"/>
                <w:szCs w:val="19"/>
                <w:shd w:val="nil" w:color="auto" w:fill="auto"/>
                <w:rtl w:val="0"/>
                <w:lang w:val="en-US"/>
              </w:rPr>
              <w:t>2 Marks</w:t>
            </w:r>
          </w:p>
        </w:tc>
      </w:tr>
    </w:tbl>
    <w:p>
      <w:pPr>
        <w:pStyle w:val="Body A"/>
        <w:widowControl w:val="0"/>
        <w:spacing w:line="240" w:lineRule="auto"/>
        <w:ind w:left="108" w:hanging="108"/>
      </w:pPr>
    </w:p>
    <w:p>
      <w:pPr>
        <w:pStyle w:val="Body A"/>
        <w:widowControl w:val="0"/>
        <w:spacing w:line="240" w:lineRule="auto"/>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 xml:space="preserve">Problem </w:t>
      </w:r>
      <w:r>
        <w:rPr>
          <w:rFonts w:ascii="Times Roman" w:hAnsi="Times Roman" w:hint="default"/>
          <w:b w:val="1"/>
          <w:bCs w:val="1"/>
          <w:rtl w:val="0"/>
          <w:lang w:val="de-DE"/>
        </w:rPr>
        <w:t xml:space="preserve">– </w:t>
      </w:r>
      <w:r>
        <w:rPr>
          <w:rFonts w:ascii="Times Roman" w:hAnsi="Times Roman"/>
          <w:b w:val="1"/>
          <w:bCs w:val="1"/>
          <w:rtl w:val="0"/>
          <w:lang w:val="de-DE"/>
        </w:rPr>
        <w:t>Solution Fit Overview: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Problem</w:t>
      </w:r>
      <w:r>
        <w:rPr>
          <w:rFonts w:ascii="Times Roman" w:hAnsi="Times Roman" w:hint="default"/>
          <w:rtl w:val="0"/>
          <w:lang w:val="de-DE"/>
        </w:rPr>
        <w:t>–</w:t>
      </w:r>
      <w:r>
        <w:rPr>
          <w:rFonts w:ascii="Times Roman" w:hAnsi="Times Roman"/>
          <w:rtl w:val="0"/>
          <w:lang w:val="en-US"/>
        </w:rPr>
        <w:t>Solution Fit ensures that the HotelPro platform addresses key gaps in the hotel booking market and aligns with the real needs of both travellers and independent boutique hoteliers. This validation is critical before scaling the platform.</w:t>
      </w:r>
    </w:p>
    <w:p>
      <w:pPr>
        <w:pStyle w:val="Default"/>
        <w:suppressAutoHyphens w:val="1"/>
        <w:spacing w:before="0" w:after="240" w:line="240" w:lineRule="auto"/>
        <w:rPr>
          <w:rFonts w:ascii="Times Roman" w:cs="Times Roman" w:hAnsi="Times Roman" w:eastAsia="Times Roman"/>
          <w:lang w:val="en-US"/>
        </w:rPr>
      </w:pPr>
      <w:r>
        <w:rPr>
          <w:rFonts w:ascii="Times Roman" w:hAnsi="Times Roman"/>
          <w:b w:val="1"/>
          <w:bCs w:val="1"/>
          <w:rtl w:val="0"/>
          <w:lang w:val="en-US"/>
        </w:rPr>
        <w:t>Purpose:</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Bridge the gap between travellers looking for reliable late-night bookings and boutique hoteliers seeking automated, fee-fair platform solutions.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Offer a unified, full-stack MERN platform that handles the booking lifecycle</w:t>
      </w:r>
      <w:r>
        <w:rPr>
          <w:rFonts w:ascii="Times Roman" w:hAnsi="Times Roman" w:hint="default"/>
          <w:rtl w:val="0"/>
          <w:lang w:val="en-US"/>
        </w:rPr>
        <w:t>—</w:t>
      </w:r>
      <w:r>
        <w:rPr>
          <w:rFonts w:ascii="Times Roman" w:hAnsi="Times Roman"/>
          <w:rtl w:val="0"/>
          <w:lang w:val="en-US"/>
        </w:rPr>
        <w:t>from 10-minute price holds to transparent GST billing</w:t>
      </w:r>
      <w:r>
        <w:rPr>
          <w:rFonts w:ascii="Times Roman" w:hAnsi="Times Roman" w:hint="default"/>
          <w:rtl w:val="0"/>
          <w:lang w:val="en-US"/>
        </w:rPr>
        <w:t>—</w:t>
      </w:r>
      <w:r>
        <w:rPr>
          <w:rFonts w:ascii="Times Roman" w:hAnsi="Times Roman"/>
          <w:rtl w:val="0"/>
          <w:lang w:val="en-US"/>
        </w:rPr>
        <w:t>without overbooking chaos.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Enable secure, instant transactions through Razorpay test payments and transparent server-side calculations to build trust.</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Provide visibility and empowerment for independent boutique hoteliers with free enterprise-grade front desk tools and a grounded Gemini AI concierge.</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Improve booking reliability and traveller peace of mind through atomic database hold locks and automated 48h/24h cancellation refunds.</w:t>
      </w:r>
    </w:p>
    <w:p>
      <w:pPr>
        <w:pStyle w:val="Default"/>
        <w:suppressAutoHyphens w:val="1"/>
        <w:spacing w:before="0" w:after="240" w:line="240" w:lineRule="auto"/>
        <w:rPr>
          <w:rFonts w:ascii="Times Roman" w:cs="Times Roman" w:hAnsi="Times Roman" w:eastAsia="Times Roman"/>
          <w:lang w:val="en-US"/>
        </w:rPr>
      </w:pPr>
      <w:r>
        <w:rPr>
          <w:rFonts w:ascii="Times Roman" w:hAnsi="Times Roman"/>
          <w:b w:val="1"/>
          <w:bCs w:val="1"/>
          <w:rtl w:val="0"/>
          <w:lang w:val="en-US"/>
        </w:rPr>
        <w:t>Problem Statement:</w:t>
      </w:r>
    </w:p>
    <w:p>
      <w:pPr>
        <w:pStyle w:val="Default"/>
        <w:suppressAutoHyphens w:val="1"/>
        <w:spacing w:before="0" w:after="240" w:line="240" w:lineRule="auto"/>
        <w:rPr>
          <w:rFonts w:ascii="Times Roman" w:cs="Times Roman" w:hAnsi="Times Roman" w:eastAsia="Times Roman"/>
          <w:lang w:val="en-US"/>
        </w:rPr>
      </w:pPr>
      <w:r>
        <w:rPr>
          <w:rFonts w:ascii="Times Roman" w:hAnsi="Times Roman"/>
          <w:rtl w:val="0"/>
          <w:lang w:val="en-US"/>
        </w:rPr>
        <w:t>Many travellers and boutique hoteliers face challenges such as: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Late-night overbooking disasters and surprise taxes at checkout.</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High 20</w:t>
      </w:r>
      <w:r>
        <w:rPr>
          <w:rFonts w:ascii="Times Roman" w:hAnsi="Times Roman" w:hint="default"/>
          <w:rtl w:val="0"/>
          <w:lang w:val="de-DE"/>
        </w:rPr>
        <w:t>–</w:t>
      </w:r>
      <w:r>
        <w:rPr>
          <w:rFonts w:ascii="Times Roman" w:hAnsi="Times Roman"/>
          <w:rtl w:val="0"/>
          <w:lang w:val="en-US"/>
        </w:rPr>
        <w:t>25% aggregator and online travel agency (OTA) fees for independent hoteliers.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Manual double-booking chaos and inefficient reservation management.</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Deceptive "drip pricing" that causes unexpected checkout costs.</w:t>
      </w:r>
    </w:p>
    <w:p>
      <w:pPr>
        <w:pStyle w:val="Default"/>
        <w:numPr>
          <w:ilvl w:val="0"/>
          <w:numId w:val="2"/>
        </w:numPr>
        <w:suppressAutoHyphens w:val="1"/>
        <w:bidi w:val="0"/>
        <w:spacing w:before="0" w:after="240" w:line="240" w:lineRule="auto"/>
        <w:ind w:right="0"/>
        <w:jc w:val="left"/>
        <w:rPr>
          <w:rFonts w:ascii="Times Roman" w:hAnsi="Times Roman"/>
          <w:rtl w:val="0"/>
          <w:lang w:val="en-US"/>
        </w:rPr>
      </w:pPr>
      <w:r>
        <w:rPr>
          <w:rFonts w:ascii="Times Roman" w:hAnsi="Times Roman"/>
          <w:rtl w:val="0"/>
          <w:lang w:val="en-US"/>
        </w:rPr>
        <w:t>Absence of modern, free, and accessible enterprise-grade tools for independent boutique chains.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Solution: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HotelPro</w:t>
      </w:r>
      <w:r>
        <w:rPr>
          <w:rFonts w:ascii="Times Roman" w:hAnsi="Times Roman"/>
          <w:rtl w:val="0"/>
          <w:lang w:val="en-US"/>
        </w:rPr>
        <w:t>, a modern full-stack overbooking-proof booking and management platform, offers:</w:t>
      </w:r>
    </w:p>
    <w:p>
      <w:pPr>
        <w:pStyle w:val="Default"/>
        <w:suppressAutoHyphens w:val="1"/>
        <w:spacing w:before="0" w:after="240" w:line="240" w:lineRule="auto"/>
        <w:rPr>
          <w:rFonts w:ascii="Times Roman" w:cs="Times Roman" w:hAnsi="Times Roman" w:eastAsia="Times Roman"/>
          <w:lang w:val="en-US"/>
        </w:rPr>
      </w:pPr>
      <w:r>
        <w:rPr>
          <w:rFonts w:ascii="Times Roman" w:hAnsi="Times Roman"/>
          <w:rtl w:val="0"/>
          <w:lang w:val="en-US"/>
        </w:rPr>
        <w:t>End-to-end reservation management including real-time availability, 10-minute price holds, and instant check-ins.</w:t>
      </w:r>
    </w:p>
    <w:p>
      <w:pPr>
        <w:pStyle w:val="Default"/>
        <w:suppressAutoHyphens w:val="1"/>
        <w:spacing w:before="0" w:after="240" w:line="240" w:lineRule="auto"/>
        <w:rPr>
          <w:rFonts w:ascii="Times Roman" w:cs="Times Roman" w:hAnsi="Times Roman" w:eastAsia="Times Roman"/>
          <w:lang w:val="en-US"/>
        </w:rPr>
      </w:pPr>
      <w:r>
        <w:rPr>
          <w:rFonts w:ascii="Times Roman" w:hAnsi="Times Roman"/>
          <w:rtl w:val="0"/>
          <w:lang w:val="en-US"/>
        </w:rPr>
        <w:t>Secure payment processing via Razorpay test payments with server-calculated 12% GST and automated 48h/24h cancellation refunds.</w:t>
      </w:r>
    </w:p>
    <w:p>
      <w:pPr>
        <w:pStyle w:val="Default"/>
        <w:suppressAutoHyphens w:val="1"/>
        <w:spacing w:before="0" w:after="240" w:line="240" w:lineRule="auto"/>
        <w:rPr>
          <w:rFonts w:ascii="Times Roman" w:cs="Times Roman" w:hAnsi="Times Roman" w:eastAsia="Times Roman"/>
          <w:lang w:val="en-US"/>
        </w:rPr>
      </w:pPr>
      <w:r>
        <w:rPr>
          <w:rFonts w:ascii="Times Roman" w:hAnsi="Times Roman"/>
          <w:rtl w:val="0"/>
          <w:lang w:val="en-US"/>
        </w:rPr>
        <w:t>Grounded Gemini AI concierge providing strictly RAG-backed hotel catalog guidance and personalized guest recommendations.</w:t>
      </w:r>
    </w:p>
    <w:p>
      <w:pPr>
        <w:pStyle w:val="Default"/>
        <w:suppressAutoHyphens w:val="1"/>
        <w:spacing w:before="0" w:after="240" w:line="240" w:lineRule="auto"/>
        <w:rPr>
          <w:rFonts w:ascii="Times Roman" w:cs="Times Roman" w:hAnsi="Times Roman" w:eastAsia="Times Roman"/>
          <w:lang w:val="en-US"/>
        </w:rPr>
      </w:pPr>
      <w:r>
        <w:rPr>
          <w:rFonts w:ascii="Times Roman" w:hAnsi="Times Roman"/>
          <w:rtl w:val="0"/>
          <w:lang w:val="en-US"/>
        </w:rPr>
        <w:t>Atomic database hold locks to permanently eliminate double-booking chaos and late-night check-in failures.</w:t>
      </w:r>
    </w:p>
    <w:p>
      <w:pPr>
        <w:pStyle w:val="Default"/>
        <w:suppressAutoHyphens w:val="1"/>
        <w:spacing w:before="0" w:after="240" w:line="240" w:lineRule="auto"/>
        <w:rPr>
          <w:rFonts w:ascii="Times Roman" w:cs="Times Roman" w:hAnsi="Times Roman" w:eastAsia="Times Roman"/>
          <w:lang w:val="en-US"/>
        </w:rPr>
      </w:pPr>
      <w:r>
        <w:rPr>
          <w:rFonts w:ascii="Times Roman" w:hAnsi="Times Roman"/>
          <w:rtl w:val="0"/>
          <w:lang w:val="en-US"/>
        </w:rPr>
        <w:t>Free enterprise-grade front desk management dashboard and property management tools for boutique hoteliers.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Transparent billing model charging a low 5% to 8% platform fee compared to traditional 20</w:t>
      </w:r>
      <w:r>
        <w:rPr>
          <w:rFonts w:ascii="Times Roman" w:hAnsi="Times Roman" w:hint="default"/>
          <w:rtl w:val="0"/>
          <w:lang w:val="de-DE"/>
        </w:rPr>
        <w:t>–</w:t>
      </w:r>
      <w:r>
        <w:rPr>
          <w:rFonts w:ascii="Times Roman" w:hAnsi="Times Roman"/>
          <w:rtl w:val="0"/>
          <w:lang w:val="it-IT"/>
        </w:rPr>
        <w:t>25% OTA commissions.</w:t>
      </w:r>
    </w:p>
    <w:p>
      <w:pPr>
        <w:pStyle w:val="Default"/>
        <w:suppressAutoHyphens w:val="1"/>
        <w:spacing w:before="0" w:after="240" w:line="240" w:lineRule="auto"/>
      </w:pPr>
      <w:r>
        <w:rPr>
          <w:rFonts w:ascii="Times Roman" w:hAnsi="Times Roman"/>
          <w:rtl w:val="0"/>
          <w:lang w:val="en-US"/>
        </w:rPr>
        <w:t>Scalable, stateless microservice-ready Node.js API with horizontal MongoDB Atlas sharding, pre-architected for WebSockets and native mobile apps.</w:t>
      </w:r>
    </w:p>
    <w:sectPr>
      <w:headerReference w:type="default" r:id="rId4"/>
      <w:footerReference w:type="default" r:id="rId5"/>
      <w:pgSz w:w="12240" w:h="15840" w:orient="portrait"/>
      <w:pgMar w:top="1152" w:right="1152" w:bottom="1152"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