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</w:pPr>
      <w:r>
        <w:rPr>
          <w:outline w:val="0"/>
          <w:color w:val="2563eb"/>
          <w:sz w:val="20"/>
          <w:szCs w:val="20"/>
          <w:u w:color="2563eb"/>
          <w:rtl w:val="0"/>
          <w14:textFill>
            <w14:solidFill>
              <w14:srgbClr w14:val="2563EB"/>
            </w14:solidFill>
          </w14:textFill>
        </w:rPr>
        <w:t>PHASE 4: PROJECT DESIGN PHASE</w:t>
      </w:r>
      <w:r>
        <w:rPr>
          <w:outline w:val="0"/>
          <w:color w:val="2563eb"/>
          <w:sz w:val="20"/>
          <w:szCs w:val="20"/>
          <w:u w:color="2563eb"/>
          <w14:textFill>
            <w14:solidFill>
              <w14:srgbClr w14:val="2563EB"/>
            </w14:solidFill>
          </w14:textFill>
        </w:rPr>
        <w:br w:type="textWrapping"/>
      </w:r>
      <w:r>
        <w:rPr>
          <w:outline w:val="0"/>
          <w:color w:val="0f172a"/>
          <w:sz w:val="32"/>
          <w:szCs w:val="32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Solution Architecture</w:t>
      </w:r>
    </w:p>
    <w:tbl>
      <w:tblPr>
        <w:tblW w:w="9936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968"/>
        <w:gridCol w:w="4968"/>
      </w:tblGrid>
      <w:tr>
        <w:tblPrEx>
          <w:shd w:val="clear" w:color="auto" w:fill="ced7e7"/>
        </w:tblPrEx>
        <w:trPr>
          <w:trHeight w:val="240" w:hRule="atLeast"/>
        </w:trPr>
        <w:tc>
          <w:tcPr>
            <w:tcW w:type="dxa" w:w="49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1f5f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Date</w:t>
            </w:r>
          </w:p>
        </w:tc>
        <w:tc>
          <w:tcPr>
            <w:tcW w:type="dxa" w:w="49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20 October 2026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49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1f5f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Team ID</w:t>
            </w:r>
          </w:p>
        </w:tc>
        <w:tc>
          <w:tcPr>
            <w:tcW w:type="dxa" w:w="49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0" w:hRule="atLeast"/>
        </w:trPr>
        <w:tc>
          <w:tcPr>
            <w:tcW w:type="dxa" w:w="49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1f5f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Project Name</w:t>
            </w:r>
          </w:p>
        </w:tc>
        <w:tc>
          <w:tcPr>
            <w:tcW w:type="dxa" w:w="49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HotelPro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Hotel Booking and Management Platform with AI Assistant</w:t>
            </w:r>
          </w:p>
        </w:tc>
      </w:tr>
      <w:tr>
        <w:tblPrEx>
          <w:shd w:val="clear" w:color="auto" w:fill="ced7e7"/>
        </w:tblPrEx>
        <w:trPr>
          <w:trHeight w:val="240" w:hRule="atLeast"/>
        </w:trPr>
        <w:tc>
          <w:tcPr>
            <w:tcW w:type="dxa" w:w="49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1f5f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Maximum Marks</w:t>
            </w:r>
          </w:p>
        </w:tc>
        <w:tc>
          <w:tcPr>
            <w:tcW w:type="dxa" w:w="49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4 Marks</w:t>
            </w:r>
          </w:p>
        </w:tc>
      </w:tr>
    </w:tbl>
    <w:p>
      <w:pPr>
        <w:pStyle w:val="Body A"/>
        <w:widowControl w:val="0"/>
        <w:spacing w:line="240" w:lineRule="auto"/>
        <w:ind w:left="108" w:hanging="108"/>
      </w:pPr>
    </w:p>
    <w:p>
      <w:pPr>
        <w:pStyle w:val="Body A"/>
        <w:widowControl w:val="0"/>
        <w:spacing w:line="240" w:lineRule="auto"/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  <w:lang w:val="en-US"/>
        </w:rPr>
        <w:t>Solution Architecture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The solution architecture provides a robust, scalable, and secure foundation for managing hotel reservations, guest interactions, automated payment workflows, and catalog-grounded AI assistance. Built using a modern </w:t>
      </w:r>
      <w:r>
        <w:rPr>
          <w:rFonts w:ascii="Times Roman" w:hAnsi="Times Roman"/>
          <w:b w:val="1"/>
          <w:bCs w:val="1"/>
          <w:rtl w:val="0"/>
          <w:lang w:val="en-US"/>
        </w:rPr>
        <w:t>3-Tier Architecture</w:t>
      </w:r>
      <w:r>
        <w:rPr>
          <w:rFonts w:ascii="Times Roman" w:hAnsi="Times Roman"/>
          <w:rtl w:val="0"/>
          <w:lang w:val="en-US"/>
        </w:rPr>
        <w:t>, it enforces clean separation of concerns across the presentation layer, application logic, and backend data services.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  <w:lang w:val="en-US"/>
        </w:rPr>
        <w:t>Architecture Overview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  <w:lang w:val="en-US"/>
        </w:rPr>
        <w:t>Tier 1: Presentation Layer (Client)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Core Framework:</w:t>
      </w:r>
      <w:r>
        <w:rPr>
          <w:rFonts w:ascii="Times Roman" w:hAnsi="Times Roman"/>
          <w:rtl w:val="0"/>
          <w:lang w:val="en-US"/>
        </w:rPr>
        <w:t xml:space="preserve"> React 18 single-page application (SPA) bootstrapped with Vite for fast build cycles and lightweight asset loading.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UI &amp; Navigation:</w:t>
      </w:r>
      <w:r>
        <w:rPr>
          <w:rFonts w:ascii="Times Roman" w:hAnsi="Times Roman"/>
          <w:rtl w:val="0"/>
          <w:lang w:val="en-US"/>
        </w:rPr>
        <w:t xml:space="preserve"> Tailwind CSS for responsive styling and React Router v7 for client-side routing.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State &amp; Authentication:</w:t>
      </w:r>
      <w:r>
        <w:rPr>
          <w:rFonts w:ascii="Times Roman" w:hAnsi="Times Roman"/>
          <w:rtl w:val="0"/>
          <w:lang w:val="en-US"/>
        </w:rPr>
        <w:t xml:space="preserve"> Context API (</w:t>
      </w:r>
      <w:r>
        <w:rPr>
          <w:rFonts w:ascii="Courier" w:hAnsi="Courier"/>
          <w:rtl w:val="0"/>
          <w:lang w:val="en-US"/>
        </w:rPr>
        <w:t>AuthContext</w:t>
      </w:r>
      <w:r>
        <w:rPr>
          <w:rFonts w:ascii="Times Roman" w:hAnsi="Times Roman"/>
          <w:rtl w:val="0"/>
          <w:lang w:val="en-US"/>
        </w:rPr>
        <w:t>) manages state across app routes.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Network Interceptors:</w:t>
      </w:r>
      <w:r>
        <w:rPr>
          <w:rFonts w:ascii="Times Roman" w:hAnsi="Times Roman"/>
          <w:rtl w:val="0"/>
          <w:lang w:val="en-US"/>
        </w:rPr>
        <w:t xml:space="preserve"> Axios instance configured with custom interceptors to detect </w:t>
      </w:r>
      <w:r>
        <w:rPr>
          <w:rFonts w:ascii="Courier" w:hAnsi="Courier"/>
          <w:rtl w:val="0"/>
          <w:lang w:val="en-US"/>
        </w:rPr>
        <w:t>401 Unauthorized</w:t>
      </w:r>
      <w:r>
        <w:rPr>
          <w:rFonts w:ascii="Times Roman" w:hAnsi="Times Roman"/>
          <w:rtl w:val="0"/>
          <w:lang w:val="en-US"/>
        </w:rPr>
        <w:t xml:space="preserve"> responses and trigger silent JWT access token renewals in the background.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  <w:lang w:val="en-US"/>
        </w:rPr>
        <w:t>Tier 2: Application Logic Layer (Express API)</w:t>
      </w:r>
    </w:p>
    <w:p>
      <w:pPr>
        <w:pStyle w:val="Default"/>
        <w:numPr>
          <w:ilvl w:val="0"/>
          <w:numId w:val="3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Server Framework:</w:t>
      </w:r>
      <w:r>
        <w:rPr>
          <w:rFonts w:ascii="Times Roman" w:hAnsi="Times Roman"/>
          <w:rtl w:val="0"/>
          <w:lang w:val="en-US"/>
        </w:rPr>
        <w:t xml:space="preserve"> Node.js + Express RESTful API with modular route handlers and controllers.</w:t>
      </w:r>
    </w:p>
    <w:p>
      <w:pPr>
        <w:pStyle w:val="Default"/>
        <w:numPr>
          <w:ilvl w:val="0"/>
          <w:numId w:val="3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Middleware &amp; Security:</w:t>
      </w:r>
    </w:p>
    <w:p>
      <w:pPr>
        <w:pStyle w:val="Default"/>
        <w:numPr>
          <w:ilvl w:val="1"/>
          <w:numId w:val="3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b w:val="1"/>
          <w:bCs w:val="1"/>
          <w:rtl w:val="0"/>
        </w:rPr>
        <w:t>Helmet:</w:t>
      </w:r>
      <w:r>
        <w:rPr>
          <w:rFonts w:ascii="Times Roman" w:hAnsi="Times Roman"/>
          <w:rtl w:val="0"/>
          <w:lang w:val="en-US"/>
        </w:rPr>
        <w:t xml:space="preserve"> Configures essential HTTP security headers.</w:t>
      </w:r>
    </w:p>
    <w:p>
      <w:pPr>
        <w:pStyle w:val="Default"/>
        <w:numPr>
          <w:ilvl w:val="1"/>
          <w:numId w:val="3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CORS &amp; Cookie-Parser:</w:t>
      </w:r>
      <w:r>
        <w:rPr>
          <w:rFonts w:ascii="Times Roman" w:hAnsi="Times Roman"/>
          <w:rtl w:val="0"/>
          <w:lang w:val="en-US"/>
        </w:rPr>
        <w:t xml:space="preserve"> Manages cross-origin resource sharing and parses secure HTTP-only cookie headers.</w:t>
      </w:r>
    </w:p>
    <w:p>
      <w:pPr>
        <w:pStyle w:val="Default"/>
        <w:numPr>
          <w:ilvl w:val="1"/>
          <w:numId w:val="3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Zod Validation:</w:t>
      </w:r>
      <w:r>
        <w:rPr>
          <w:rFonts w:ascii="Times Roman" w:hAnsi="Times Roman"/>
          <w:rtl w:val="0"/>
          <w:lang w:val="en-US"/>
        </w:rPr>
        <w:t xml:space="preserve"> Enforces strict payload validation schemas before reaching application logic.</w:t>
      </w:r>
    </w:p>
    <w:p>
      <w:pPr>
        <w:pStyle w:val="Default"/>
        <w:numPr>
          <w:ilvl w:val="1"/>
          <w:numId w:val="3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JWT Dual-Token Security:</w:t>
      </w:r>
      <w:r>
        <w:rPr>
          <w:rFonts w:ascii="Times Roman" w:hAnsi="Times Roman"/>
          <w:rtl w:val="0"/>
          <w:lang w:val="en-US"/>
        </w:rPr>
        <w:t xml:space="preserve"> Issues short-lived access tokens (15-minute expiration) paired with long-lived refresh tokens (7-day HTTP-only cookies).</w:t>
      </w:r>
    </w:p>
    <w:p>
      <w:pPr>
        <w:pStyle w:val="Default"/>
        <w:numPr>
          <w:ilvl w:val="0"/>
          <w:numId w:val="3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Application Controllers:</w:t>
      </w:r>
      <w:r>
        <w:rPr>
          <w:rFonts w:ascii="Times Roman" w:hAnsi="Times Roman"/>
          <w:rtl w:val="0"/>
          <w:lang w:val="en-US"/>
        </w:rPr>
        <w:t xml:space="preserve"> Decoupled HTTP handlers (</w:t>
      </w:r>
      <w:r>
        <w:rPr>
          <w:rFonts w:ascii="Courier" w:hAnsi="Courier"/>
          <w:rtl w:val="0"/>
        </w:rPr>
        <w:t>HotelCtrl</w:t>
      </w:r>
      <w:r>
        <w:rPr>
          <w:rFonts w:ascii="Times Roman" w:hAnsi="Times Roman"/>
          <w:rtl w:val="0"/>
        </w:rPr>
        <w:t xml:space="preserve">, </w:t>
      </w:r>
      <w:r>
        <w:rPr>
          <w:rFonts w:ascii="Courier" w:hAnsi="Courier"/>
          <w:rtl w:val="0"/>
          <w:lang w:val="en-US"/>
        </w:rPr>
        <w:t>BookingCtrl</w:t>
      </w:r>
      <w:r>
        <w:rPr>
          <w:rFonts w:ascii="Times Roman" w:hAnsi="Times Roman"/>
          <w:rtl w:val="0"/>
        </w:rPr>
        <w:t xml:space="preserve">, </w:t>
      </w:r>
      <w:r>
        <w:rPr>
          <w:rFonts w:ascii="Courier" w:hAnsi="Courier"/>
          <w:rtl w:val="0"/>
          <w:lang w:val="en-US"/>
        </w:rPr>
        <w:t>PaymentCtrl</w:t>
      </w:r>
      <w:r>
        <w:rPr>
          <w:rFonts w:ascii="Times Roman" w:hAnsi="Times Roman"/>
          <w:rtl w:val="0"/>
        </w:rPr>
        <w:t xml:space="preserve">, </w:t>
      </w:r>
      <w:r>
        <w:rPr>
          <w:rFonts w:ascii="Courier" w:hAnsi="Courier"/>
          <w:rtl w:val="0"/>
          <w:lang w:val="en-US"/>
        </w:rPr>
        <w:t>StaffCtrl</w:t>
      </w:r>
      <w:r>
        <w:rPr>
          <w:rFonts w:ascii="Times Roman" w:hAnsi="Times Roman"/>
          <w:rtl w:val="0"/>
        </w:rPr>
        <w:t xml:space="preserve">, </w:t>
      </w:r>
      <w:r>
        <w:rPr>
          <w:rFonts w:ascii="Courier" w:hAnsi="Courier"/>
          <w:rtl w:val="0"/>
        </w:rPr>
        <w:t>AICtrl</w:t>
      </w:r>
      <w:r>
        <w:rPr>
          <w:rFonts w:ascii="Times Roman" w:hAnsi="Times Roman"/>
          <w:rtl w:val="0"/>
          <w:lang w:val="en-US"/>
        </w:rPr>
        <w:t>) that standardize API response structures.</w:t>
      </w:r>
    </w:p>
    <w:p>
      <w:pPr>
        <w:pStyle w:val="Default"/>
        <w:numPr>
          <w:ilvl w:val="0"/>
          <w:numId w:val="3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Business Services:</w:t>
      </w:r>
    </w:p>
    <w:p>
      <w:pPr>
        <w:pStyle w:val="Default"/>
        <w:numPr>
          <w:ilvl w:val="1"/>
          <w:numId w:val="3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BookingService:</w:t>
      </w:r>
      <w:r>
        <w:rPr>
          <w:rFonts w:ascii="Times Roman" w:hAnsi="Times Roman"/>
          <w:rtl w:val="0"/>
          <w:lang w:val="en-US"/>
        </w:rPr>
        <w:t xml:space="preserve"> Handles date overlap calculations and enforces atomic room holds to eliminate double-booking issues.</w:t>
      </w:r>
    </w:p>
    <w:p>
      <w:pPr>
        <w:pStyle w:val="Default"/>
        <w:numPr>
          <w:ilvl w:val="1"/>
          <w:numId w:val="3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PaymentService:</w:t>
      </w:r>
      <w:r>
        <w:rPr>
          <w:rFonts w:ascii="Times Roman" w:hAnsi="Times Roman"/>
          <w:rtl w:val="0"/>
          <w:lang w:val="en-US"/>
        </w:rPr>
        <w:t xml:space="preserve"> Handles payment lifecycle execution and HMAC cryptographic signature verification.</w:t>
      </w:r>
    </w:p>
    <w:p>
      <w:pPr>
        <w:pStyle w:val="Default"/>
        <w:numPr>
          <w:ilvl w:val="1"/>
          <w:numId w:val="3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AIService:</w:t>
      </w:r>
      <w:r>
        <w:rPr>
          <w:rFonts w:ascii="Times Roman" w:hAnsi="Times Roman"/>
          <w:rtl w:val="0"/>
          <w:lang w:val="en-US"/>
        </w:rPr>
        <w:t xml:space="preserve"> Constructs Retrieval-Augmented Generation (RAG) context prompts to guide the AI assistant with up-to-date catalog data.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  <w:lang w:val="en-US"/>
        </w:rPr>
        <w:t>Tier 3: Data &amp; External Services Layer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Primary Database:</w:t>
      </w:r>
      <w:r>
        <w:rPr>
          <w:rFonts w:ascii="Times Roman" w:hAnsi="Times Roman"/>
          <w:rtl w:val="0"/>
          <w:lang w:val="en-US"/>
        </w:rPr>
        <w:t xml:space="preserve"> MongoDB Atlas cluster using compound indexes (e.g., </w:t>
      </w:r>
      <w:r>
        <w:rPr>
          <w:rFonts w:ascii="Courier" w:hAnsi="Courier"/>
          <w:rtl w:val="0"/>
          <w:lang w:val="en-US"/>
        </w:rPr>
        <w:t>roomTypeId</w:t>
      </w:r>
      <w:r>
        <w:rPr>
          <w:rFonts w:ascii="Times Roman" w:hAnsi="Times Roman"/>
          <w:rtl w:val="0"/>
        </w:rPr>
        <w:t xml:space="preserve"> + </w:t>
      </w:r>
      <w:r>
        <w:rPr>
          <w:rFonts w:ascii="Courier" w:hAnsi="Courier"/>
          <w:rtl w:val="0"/>
        </w:rPr>
        <w:t>status</w:t>
      </w:r>
      <w:r>
        <w:rPr>
          <w:rFonts w:ascii="Times Roman" w:hAnsi="Times Roman"/>
          <w:rtl w:val="0"/>
        </w:rPr>
        <w:t xml:space="preserve"> + </w:t>
      </w:r>
      <w:r>
        <w:rPr>
          <w:rFonts w:ascii="Courier" w:hAnsi="Courier"/>
          <w:rtl w:val="0"/>
          <w:lang w:val="en-US"/>
        </w:rPr>
        <w:t>dates</w:t>
      </w:r>
      <w:r>
        <w:rPr>
          <w:rFonts w:ascii="Times Roman" w:hAnsi="Times Roman"/>
          <w:rtl w:val="0"/>
          <w:lang w:val="en-US"/>
        </w:rPr>
        <w:t>) for fast query execution on reservation availability.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Payment Gateway Integration:</w:t>
      </w:r>
      <w:r>
        <w:rPr>
          <w:rFonts w:ascii="Times Roman" w:hAnsi="Times Roman"/>
          <w:rtl w:val="0"/>
          <w:lang w:val="en-US"/>
        </w:rPr>
        <w:t xml:space="preserve"> Razorpay Sandbox integration for processing test transactions and handling asynchronous webhooks.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AI Engine:</w:t>
      </w:r>
      <w:r>
        <w:rPr>
          <w:rFonts w:ascii="Times Roman" w:hAnsi="Times Roman"/>
          <w:rtl w:val="0"/>
          <w:lang w:val="en-US"/>
        </w:rPr>
        <w:t xml:space="preserve"> Google Gemini AI API integrated via RAG to provide intelligent, contextual, and catalog-grounded guest responses.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</w:p>
    <w:p>
      <w:pPr>
        <w:pStyle w:val="Default"/>
        <w:suppressAutoHyphens w:val="1"/>
        <w:spacing w:before="0" w:after="299" w:line="240" w:lineRule="auto"/>
      </w:pPr>
      <w:r>
        <w:rPr>
          <w:rFonts w:ascii="Times Roman" w:cs="Times Roman" w:hAnsi="Times Roman" w:eastAsia="Times Roman"/>
          <w:b w:val="1"/>
          <w:bCs w:val="1"/>
          <w:sz w:val="36"/>
          <w:szCs w:val="36"/>
        </w:rPr>
        <w:br w:type="textWrapping"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</w:rPr>
        <w:br w:type="page"/>
      </w:r>
    </w:p>
    <w:p>
      <w:pPr>
        <w:pStyle w:val="Default"/>
        <w:suppressAutoHyphens w:val="1"/>
        <w:spacing w:before="0" w:after="299" w:line="240" w:lineRule="auto"/>
      </w:pP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page">
              <wp:posOffset>-369272</wp:posOffset>
            </wp:positionH>
            <wp:positionV relativeFrom="page">
              <wp:posOffset>883919</wp:posOffset>
            </wp:positionV>
            <wp:extent cx="8510945" cy="7646552"/>
            <wp:effectExtent l="0" t="0" r="0" b="0"/>
            <wp:wrapTopAndBottom distT="152400" distB="152400"/>
            <wp:docPr id="1073741825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10945" cy="764655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>
      <w:headerReference w:type="default" r:id="rId5"/>
      <w:footerReference w:type="default" r:id="rId6"/>
      <w:pgSz w:w="12240" w:h="15840" w:orient="portrait"/>
      <w:pgMar w:top="1152" w:right="1152" w:bottom="1152" w:left="1152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  <w:font w:name="Times Roman">
    <w:charset w:val="00"/>
    <w:family w:val="roman"/>
    <w:pitch w:val="default"/>
  </w:font>
  <w:font w:name="Courie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s"/>
  </w:abstractNum>
  <w:abstractNum w:abstractNumId="1">
    <w:multiLevelType w:val="hybridMultilevel"/>
    <w:styleLink w:val="Bullets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60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32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numbering" w:styleId="Bullets">
    <w:name w:val="Bullets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