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EC80B" w14:textId="77777777" w:rsidR="001F5A4A" w:rsidRPr="001F5A4A" w:rsidRDefault="001F5A4A">
      <w:pPr>
        <w:rPr>
          <w:b/>
          <w:sz w:val="24"/>
        </w:rPr>
      </w:pPr>
      <w:r w:rsidRPr="001F5A4A">
        <w:rPr>
          <w:b/>
          <w:sz w:val="24"/>
        </w:rPr>
        <w:t xml:space="preserve">3.3. Suivi de la </w:t>
      </w:r>
      <w:r w:rsidR="008F3E9D">
        <w:rPr>
          <w:b/>
          <w:sz w:val="24"/>
        </w:rPr>
        <w:t>biodiversité végétale terrestre</w:t>
      </w:r>
      <w:r w:rsidR="00AA4EEC">
        <w:rPr>
          <w:b/>
          <w:sz w:val="24"/>
        </w:rPr>
        <w:t> : cas des écosystèmes forestiers</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10" w:type="dxa"/>
          <w:right w:w="10" w:type="dxa"/>
        </w:tblCellMar>
        <w:tblLook w:val="04A0" w:firstRow="1" w:lastRow="0" w:firstColumn="1" w:lastColumn="0" w:noHBand="0" w:noVBand="1"/>
      </w:tblPr>
      <w:tblGrid>
        <w:gridCol w:w="7061"/>
        <w:gridCol w:w="1869"/>
      </w:tblGrid>
      <w:tr w:rsidR="005A115A" w:rsidRPr="006A0E0D" w14:paraId="17FD6CB1" w14:textId="77777777" w:rsidTr="005A115A">
        <w:tc>
          <w:tcPr>
            <w:tcW w:w="7061" w:type="dxa"/>
            <w:shd w:val="clear" w:color="auto" w:fill="FFFFFF" w:themeFill="background1"/>
          </w:tcPr>
          <w:p w14:paraId="317D1F12" w14:textId="49B2BED7" w:rsidR="005A115A" w:rsidRPr="006A0E0D" w:rsidRDefault="005A115A" w:rsidP="001633B8">
            <w:pPr>
              <w:spacing w:after="0" w:line="240" w:lineRule="auto"/>
              <w:jc w:val="both"/>
              <w:rPr>
                <w:rFonts w:ascii="Arial" w:hAnsi="Arial" w:cs="Arial"/>
              </w:rPr>
            </w:pPr>
            <w:r>
              <w:rPr>
                <w:rFonts w:ascii="Arial" w:hAnsi="Arial" w:cs="Arial"/>
              </w:rPr>
              <w:t xml:space="preserve">Suivre la végétation </w:t>
            </w:r>
            <w:r w:rsidR="00F85BF8">
              <w:rPr>
                <w:rFonts w:ascii="Arial" w:hAnsi="Arial" w:cs="Arial"/>
              </w:rPr>
              <w:t>considéré</w:t>
            </w:r>
            <w:r w:rsidR="00C32812">
              <w:rPr>
                <w:rFonts w:ascii="Arial" w:hAnsi="Arial" w:cs="Arial"/>
              </w:rPr>
              <w:t>e</w:t>
            </w:r>
            <w:r w:rsidR="00F85BF8">
              <w:rPr>
                <w:rFonts w:ascii="Arial" w:hAnsi="Arial" w:cs="Arial"/>
              </w:rPr>
              <w:t xml:space="preserve"> comme une valeur de l’AP,</w:t>
            </w:r>
            <w:r>
              <w:rPr>
                <w:rFonts w:ascii="Arial" w:hAnsi="Arial" w:cs="Arial"/>
              </w:rPr>
              <w:t xml:space="preserve"> est souvent un</w:t>
            </w:r>
            <w:r w:rsidR="001633B8">
              <w:rPr>
                <w:rFonts w:ascii="Arial" w:hAnsi="Arial" w:cs="Arial"/>
              </w:rPr>
              <w:t xml:space="preserve"> élément essentiel pour bien </w:t>
            </w:r>
            <w:r>
              <w:rPr>
                <w:rFonts w:ascii="Arial" w:hAnsi="Arial" w:cs="Arial"/>
              </w:rPr>
              <w:t>comprendre</w:t>
            </w:r>
            <w:r w:rsidR="001633B8">
              <w:rPr>
                <w:rFonts w:ascii="Arial" w:hAnsi="Arial" w:cs="Arial"/>
              </w:rPr>
              <w:t xml:space="preserve"> l’écosystème</w:t>
            </w:r>
            <w:r>
              <w:rPr>
                <w:rFonts w:ascii="Arial" w:hAnsi="Arial" w:cs="Arial"/>
              </w:rPr>
              <w:t xml:space="preserve"> et prendre les décisions adéquates le concernant, notamment lorsqu’on veut assurer une valorisation durable de certaines essences ligneuses.</w:t>
            </w:r>
          </w:p>
        </w:tc>
        <w:tc>
          <w:tcPr>
            <w:tcW w:w="1869" w:type="dxa"/>
            <w:shd w:val="clear" w:color="auto" w:fill="FFFFFF" w:themeFill="background1"/>
          </w:tcPr>
          <w:p w14:paraId="281DBD8C" w14:textId="016DAB58" w:rsidR="005A115A" w:rsidRPr="006A0E0D" w:rsidRDefault="00C32812" w:rsidP="006A0E0D">
            <w:pPr>
              <w:autoSpaceDE w:val="0"/>
              <w:autoSpaceDN w:val="0"/>
              <w:adjustRightInd w:val="0"/>
              <w:spacing w:line="240" w:lineRule="auto"/>
              <w:rPr>
                <w:rFonts w:ascii="Arial" w:hAnsi="Arial" w:cs="Arial"/>
                <w:b/>
                <w:bCs/>
                <w:i/>
              </w:rPr>
            </w:pPr>
            <w:r>
              <w:rPr>
                <w:rFonts w:ascii="Arial" w:hAnsi="Arial" w:cs="Arial"/>
                <w:b/>
                <w:bCs/>
                <w:i/>
              </w:rPr>
              <w:t xml:space="preserve">Fig. 1 : </w:t>
            </w:r>
            <w:r w:rsidR="005A115A">
              <w:rPr>
                <w:rFonts w:ascii="Arial" w:hAnsi="Arial" w:cs="Arial"/>
                <w:b/>
                <w:bCs/>
                <w:i/>
              </w:rPr>
              <w:t>Photo de forêt</w:t>
            </w:r>
          </w:p>
        </w:tc>
      </w:tr>
      <w:tr w:rsidR="005A115A" w:rsidRPr="006A0E0D" w14:paraId="6A326A37" w14:textId="77777777" w:rsidTr="005A115A">
        <w:tc>
          <w:tcPr>
            <w:tcW w:w="7061" w:type="dxa"/>
            <w:shd w:val="clear" w:color="auto" w:fill="FFFFFF" w:themeFill="background1"/>
          </w:tcPr>
          <w:p w14:paraId="703F8B0E" w14:textId="12456F86" w:rsidR="005A115A" w:rsidRPr="006A0E0D" w:rsidRDefault="00693050">
            <w:pPr>
              <w:spacing w:after="0" w:line="240" w:lineRule="auto"/>
              <w:jc w:val="both"/>
              <w:rPr>
                <w:rFonts w:ascii="Arial" w:hAnsi="Arial" w:cs="Arial"/>
              </w:rPr>
            </w:pPr>
            <w:r>
              <w:rPr>
                <w:rFonts w:ascii="Arial" w:hAnsi="Arial" w:cs="Arial"/>
              </w:rPr>
              <w:t>Si l’on souhaite</w:t>
            </w:r>
            <w:r w:rsidRPr="006A0E0D">
              <w:rPr>
                <w:rFonts w:ascii="Arial" w:hAnsi="Arial" w:cs="Arial"/>
              </w:rPr>
              <w:t xml:space="preserve"> </w:t>
            </w:r>
            <w:r w:rsidR="005A115A" w:rsidRPr="006A0E0D">
              <w:rPr>
                <w:rFonts w:ascii="Arial" w:hAnsi="Arial" w:cs="Arial"/>
              </w:rPr>
              <w:t>surveiller les changements à long terme de la biodiversité végétale dans différents écosystèmes, il est essentiel d’ut</w:t>
            </w:r>
            <w:r w:rsidR="005A115A">
              <w:rPr>
                <w:rFonts w:ascii="Arial" w:hAnsi="Arial" w:cs="Arial"/>
              </w:rPr>
              <w:t xml:space="preserve">iliser des échantillons </w:t>
            </w:r>
            <w:r w:rsidR="00F85BF8">
              <w:rPr>
                <w:rFonts w:ascii="Arial" w:hAnsi="Arial" w:cs="Arial"/>
              </w:rPr>
              <w:t xml:space="preserve">dans des zones </w:t>
            </w:r>
            <w:r w:rsidR="005A115A" w:rsidRPr="006A0E0D">
              <w:rPr>
                <w:rFonts w:ascii="Arial" w:hAnsi="Arial" w:cs="Arial"/>
              </w:rPr>
              <w:t xml:space="preserve">balisées en permanence. </w:t>
            </w:r>
          </w:p>
        </w:tc>
        <w:tc>
          <w:tcPr>
            <w:tcW w:w="1869" w:type="dxa"/>
            <w:vMerge w:val="restart"/>
            <w:shd w:val="clear" w:color="auto" w:fill="FFFFFF" w:themeFill="background1"/>
          </w:tcPr>
          <w:p w14:paraId="50C6803C" w14:textId="61EAF502" w:rsidR="005A115A" w:rsidRPr="006A0E0D" w:rsidRDefault="005A115A" w:rsidP="006A0E0D">
            <w:pPr>
              <w:autoSpaceDE w:val="0"/>
              <w:autoSpaceDN w:val="0"/>
              <w:adjustRightInd w:val="0"/>
              <w:spacing w:line="240" w:lineRule="auto"/>
              <w:rPr>
                <w:rFonts w:ascii="Arial" w:hAnsi="Arial" w:cs="Arial"/>
                <w:b/>
                <w:bCs/>
                <w:i/>
              </w:rPr>
            </w:pPr>
          </w:p>
        </w:tc>
      </w:tr>
      <w:tr w:rsidR="005A115A" w:rsidRPr="006A0E0D" w14:paraId="0E611349" w14:textId="77777777" w:rsidTr="005A115A">
        <w:tc>
          <w:tcPr>
            <w:tcW w:w="7061" w:type="dxa"/>
            <w:shd w:val="clear" w:color="auto" w:fill="FFFFFF" w:themeFill="background1"/>
          </w:tcPr>
          <w:p w14:paraId="47E247BD" w14:textId="526B3896" w:rsidR="001633B8" w:rsidRPr="001633B8" w:rsidRDefault="00AA2AD3" w:rsidP="001633B8">
            <w:pPr>
              <w:autoSpaceDE w:val="0"/>
              <w:autoSpaceDN w:val="0"/>
              <w:adjustRightInd w:val="0"/>
              <w:spacing w:after="0" w:line="240" w:lineRule="auto"/>
              <w:jc w:val="both"/>
              <w:rPr>
                <w:rFonts w:ascii="Arial" w:eastAsiaTheme="minorHAnsi" w:hAnsi="Arial" w:cs="Arial"/>
                <w:iCs/>
              </w:rPr>
            </w:pPr>
            <w:r w:rsidRPr="001633B8">
              <w:rPr>
                <w:rFonts w:ascii="Arial" w:eastAsiaTheme="minorHAnsi" w:hAnsi="Arial" w:cs="Arial"/>
                <w:iCs/>
              </w:rPr>
              <w:t>Les facteurs écologiques peuvent varier d’intensité selon un gradient géologique ou topographique, engendrant alors des changements de la structure et de la composition floristique au fil de ces gradient</w:t>
            </w:r>
            <w:r w:rsidR="002C1043">
              <w:rPr>
                <w:rFonts w:ascii="Arial" w:eastAsiaTheme="minorHAnsi" w:hAnsi="Arial" w:cs="Arial"/>
                <w:iCs/>
              </w:rPr>
              <w:t>s</w:t>
            </w:r>
            <w:r w:rsidR="001633B8">
              <w:rPr>
                <w:rFonts w:ascii="Arial" w:eastAsiaTheme="minorHAnsi" w:hAnsi="Arial" w:cs="Arial"/>
                <w:iCs/>
              </w:rPr>
              <w:t>.</w:t>
            </w:r>
          </w:p>
        </w:tc>
        <w:tc>
          <w:tcPr>
            <w:tcW w:w="1869" w:type="dxa"/>
            <w:vMerge/>
            <w:shd w:val="clear" w:color="auto" w:fill="FFFFFF" w:themeFill="background1"/>
          </w:tcPr>
          <w:p w14:paraId="4EE6FC12" w14:textId="77777777" w:rsidR="005A115A" w:rsidRPr="006A0E0D" w:rsidRDefault="005A115A" w:rsidP="006A0E0D">
            <w:pPr>
              <w:autoSpaceDE w:val="0"/>
              <w:autoSpaceDN w:val="0"/>
              <w:adjustRightInd w:val="0"/>
              <w:spacing w:line="240" w:lineRule="auto"/>
              <w:rPr>
                <w:rFonts w:ascii="Arial" w:hAnsi="Arial" w:cs="Arial"/>
                <w:b/>
                <w:bCs/>
                <w:i/>
              </w:rPr>
            </w:pPr>
          </w:p>
        </w:tc>
      </w:tr>
      <w:tr w:rsidR="005A115A" w:rsidRPr="006A0E0D" w14:paraId="3CCC2FB5" w14:textId="77777777" w:rsidTr="005A115A">
        <w:tc>
          <w:tcPr>
            <w:tcW w:w="7061" w:type="dxa"/>
            <w:shd w:val="clear" w:color="auto" w:fill="FFFFFF" w:themeFill="background1"/>
          </w:tcPr>
          <w:p w14:paraId="3D2D9BB4" w14:textId="3B1F4AD0" w:rsidR="005A115A" w:rsidRPr="006A0E0D" w:rsidRDefault="00C32812" w:rsidP="00C32812">
            <w:pPr>
              <w:spacing w:after="0" w:line="240" w:lineRule="auto"/>
              <w:jc w:val="both"/>
              <w:rPr>
                <w:rFonts w:ascii="Arial" w:hAnsi="Arial" w:cs="Arial"/>
              </w:rPr>
            </w:pPr>
            <w:r>
              <w:rPr>
                <w:rFonts w:ascii="Arial" w:hAnsi="Arial" w:cs="Arial"/>
              </w:rPr>
              <w:t>P</w:t>
            </w:r>
            <w:r w:rsidRPr="006A0E0D">
              <w:rPr>
                <w:rFonts w:ascii="Arial" w:hAnsi="Arial" w:cs="Arial"/>
              </w:rPr>
              <w:t xml:space="preserve">our le suivi des </w:t>
            </w:r>
            <w:r w:rsidRPr="00681AC4">
              <w:rPr>
                <w:rFonts w:ascii="Arial" w:hAnsi="Arial" w:cs="Arial"/>
              </w:rPr>
              <w:t>communautés végétales qui ne présentent pas de gradients marqués</w:t>
            </w:r>
            <w:r>
              <w:rPr>
                <w:rFonts w:ascii="Arial" w:hAnsi="Arial" w:cs="Arial"/>
              </w:rPr>
              <w:t xml:space="preserve">, </w:t>
            </w:r>
            <w:r w:rsidR="00693050">
              <w:rPr>
                <w:rFonts w:ascii="Arial" w:hAnsi="Arial" w:cs="Arial"/>
              </w:rPr>
              <w:t>l</w:t>
            </w:r>
            <w:r w:rsidR="002C1043" w:rsidRPr="006A0E0D">
              <w:rPr>
                <w:rFonts w:ascii="Arial" w:hAnsi="Arial" w:cs="Arial"/>
              </w:rPr>
              <w:t xml:space="preserve">es </w:t>
            </w:r>
            <w:r w:rsidR="002C1043" w:rsidRPr="00C32812">
              <w:rPr>
                <w:rFonts w:ascii="Arial" w:hAnsi="Arial" w:cs="Arial"/>
                <w:b/>
              </w:rPr>
              <w:t>parcelles permanentes</w:t>
            </w:r>
            <w:r w:rsidR="002C1043" w:rsidRPr="006A0E0D">
              <w:rPr>
                <w:rFonts w:ascii="Arial" w:hAnsi="Arial" w:cs="Arial"/>
              </w:rPr>
              <w:t xml:space="preserve"> sont recommandées</w:t>
            </w:r>
            <w:r w:rsidR="002C1043" w:rsidRPr="00681AC4">
              <w:rPr>
                <w:rFonts w:ascii="Arial" w:hAnsi="Arial" w:cs="Arial"/>
              </w:rPr>
              <w:t>.</w:t>
            </w:r>
            <w:r w:rsidR="002C1043">
              <w:rPr>
                <w:rFonts w:ascii="Arial" w:hAnsi="Arial" w:cs="Arial"/>
              </w:rPr>
              <w:t xml:space="preserve"> </w:t>
            </w:r>
            <w:r w:rsidR="005A115A" w:rsidRPr="006A0E0D">
              <w:rPr>
                <w:rFonts w:ascii="Arial" w:hAnsi="Arial" w:cs="Arial"/>
              </w:rPr>
              <w:t xml:space="preserve">Par contre, en présence de gradients marqués, </w:t>
            </w:r>
            <w:r w:rsidR="00693050">
              <w:rPr>
                <w:rFonts w:ascii="Arial" w:hAnsi="Arial" w:cs="Arial"/>
              </w:rPr>
              <w:t>il vaut mieux utiliser</w:t>
            </w:r>
            <w:r w:rsidR="005A115A" w:rsidRPr="006A0E0D">
              <w:rPr>
                <w:rFonts w:ascii="Arial" w:hAnsi="Arial" w:cs="Arial"/>
              </w:rPr>
              <w:t xml:space="preserve"> des </w:t>
            </w:r>
            <w:r w:rsidR="005A115A" w:rsidRPr="00C32812">
              <w:rPr>
                <w:rFonts w:ascii="Arial" w:hAnsi="Arial" w:cs="Arial"/>
                <w:b/>
              </w:rPr>
              <w:t>transects permanents</w:t>
            </w:r>
            <w:r w:rsidR="005A115A" w:rsidRPr="006A0E0D">
              <w:rPr>
                <w:rFonts w:ascii="Arial" w:hAnsi="Arial" w:cs="Arial"/>
              </w:rPr>
              <w:t xml:space="preserve">. </w:t>
            </w:r>
            <w:r w:rsidR="002C1043">
              <w:rPr>
                <w:rFonts w:ascii="Arial" w:hAnsi="Arial" w:cs="Arial"/>
              </w:rPr>
              <w:t>Mais c</w:t>
            </w:r>
            <w:r w:rsidR="005A115A" w:rsidRPr="006A0E0D">
              <w:rPr>
                <w:rFonts w:ascii="Arial" w:hAnsi="Arial" w:cs="Arial"/>
              </w:rPr>
              <w:t xml:space="preserve">e cas spécifique ne sera pas développé </w:t>
            </w:r>
            <w:r w:rsidR="005A115A">
              <w:rPr>
                <w:rFonts w:ascii="Arial" w:hAnsi="Arial" w:cs="Arial"/>
              </w:rPr>
              <w:t>ici</w:t>
            </w:r>
            <w:r w:rsidR="005A115A" w:rsidRPr="006A0E0D">
              <w:rPr>
                <w:rFonts w:ascii="Arial" w:hAnsi="Arial" w:cs="Arial"/>
              </w:rPr>
              <w:t xml:space="preserve">. </w:t>
            </w:r>
            <w:r w:rsidR="005A115A">
              <w:rPr>
                <w:rFonts w:ascii="Arial" w:hAnsi="Arial" w:cs="Arial"/>
              </w:rPr>
              <w:t>Cette séquence se focalise</w:t>
            </w:r>
            <w:r w:rsidR="005A115A" w:rsidRPr="006A0E0D">
              <w:rPr>
                <w:rFonts w:ascii="Arial" w:hAnsi="Arial" w:cs="Arial"/>
              </w:rPr>
              <w:t xml:space="preserve"> sur le suivi des arbres de couvert forestier dans les peuplements sans gradients marqués.</w:t>
            </w:r>
          </w:p>
        </w:tc>
        <w:tc>
          <w:tcPr>
            <w:tcW w:w="1869" w:type="dxa"/>
            <w:shd w:val="clear" w:color="auto" w:fill="FFFFFF" w:themeFill="background1"/>
          </w:tcPr>
          <w:p w14:paraId="19BB2D79" w14:textId="74D13542" w:rsidR="005A115A" w:rsidRPr="006A0E0D" w:rsidRDefault="00C32812" w:rsidP="00C32812">
            <w:pPr>
              <w:autoSpaceDE w:val="0"/>
              <w:autoSpaceDN w:val="0"/>
              <w:adjustRightInd w:val="0"/>
              <w:spacing w:line="240" w:lineRule="auto"/>
              <w:rPr>
                <w:rFonts w:ascii="Arial" w:hAnsi="Arial" w:cs="Arial"/>
                <w:b/>
                <w:bCs/>
                <w:i/>
              </w:rPr>
            </w:pPr>
            <w:r w:rsidRPr="006A0E0D">
              <w:rPr>
                <w:rFonts w:ascii="Arial" w:hAnsi="Arial" w:cs="Arial"/>
                <w:b/>
                <w:bCs/>
                <w:i/>
              </w:rPr>
              <w:t xml:space="preserve">Fig. </w:t>
            </w:r>
            <w:r>
              <w:rPr>
                <w:rFonts w:ascii="Arial" w:hAnsi="Arial" w:cs="Arial"/>
                <w:b/>
                <w:bCs/>
                <w:i/>
              </w:rPr>
              <w:t>2</w:t>
            </w:r>
            <w:r w:rsidRPr="006A0E0D">
              <w:rPr>
                <w:rFonts w:ascii="Arial" w:hAnsi="Arial" w:cs="Arial"/>
                <w:b/>
                <w:bCs/>
                <w:i/>
              </w:rPr>
              <w:t> : arbre de décision pour les méthodes et protocoles de suivi de la biodiversité végétale</w:t>
            </w:r>
          </w:p>
        </w:tc>
      </w:tr>
      <w:tr w:rsidR="00067EDE" w:rsidRPr="006A0E0D" w14:paraId="3BFF2F38" w14:textId="77777777" w:rsidTr="005A115A">
        <w:tc>
          <w:tcPr>
            <w:tcW w:w="7061" w:type="dxa"/>
            <w:shd w:val="clear" w:color="auto" w:fill="FFFFFF" w:themeFill="background1"/>
          </w:tcPr>
          <w:p w14:paraId="004F07CD" w14:textId="77777777" w:rsidR="00067EDE" w:rsidRPr="006A0E0D" w:rsidRDefault="00067EDE" w:rsidP="005A115A">
            <w:pPr>
              <w:spacing w:after="0" w:line="240" w:lineRule="auto"/>
              <w:jc w:val="both"/>
              <w:rPr>
                <w:rFonts w:ascii="Arial" w:hAnsi="Arial" w:cs="Arial"/>
              </w:rPr>
            </w:pPr>
            <w:r w:rsidRPr="006A0E0D">
              <w:rPr>
                <w:rFonts w:ascii="Arial" w:hAnsi="Arial" w:cs="Arial"/>
                <w:bCs/>
              </w:rPr>
              <w:t xml:space="preserve">Le suivi à long terme des arbres d’une parcelle forestière permanente permet d’obtenir des renseignements importants sur la structure et la composition d’une </w:t>
            </w:r>
            <w:r w:rsidR="00D77430" w:rsidRPr="006A0E0D">
              <w:rPr>
                <w:rFonts w:ascii="Arial" w:hAnsi="Arial" w:cs="Arial"/>
                <w:bCs/>
              </w:rPr>
              <w:t>forêt ;</w:t>
            </w:r>
            <w:r w:rsidRPr="006A0E0D">
              <w:rPr>
                <w:rFonts w:ascii="Arial" w:hAnsi="Arial" w:cs="Arial"/>
                <w:bCs/>
              </w:rPr>
              <w:t xml:space="preserve"> </w:t>
            </w:r>
          </w:p>
        </w:tc>
        <w:tc>
          <w:tcPr>
            <w:tcW w:w="1869" w:type="dxa"/>
            <w:shd w:val="clear" w:color="auto" w:fill="FFFFFF" w:themeFill="background1"/>
          </w:tcPr>
          <w:p w14:paraId="72EAFD2A" w14:textId="58F605C9" w:rsidR="00067EDE" w:rsidRPr="00C32812" w:rsidRDefault="00C32812" w:rsidP="006A0E0D">
            <w:pPr>
              <w:autoSpaceDE w:val="0"/>
              <w:autoSpaceDN w:val="0"/>
              <w:adjustRightInd w:val="0"/>
              <w:spacing w:line="240" w:lineRule="auto"/>
              <w:rPr>
                <w:rFonts w:ascii="Arial" w:hAnsi="Arial" w:cs="Arial"/>
                <w:b/>
                <w:bCs/>
              </w:rPr>
            </w:pPr>
            <w:r>
              <w:rPr>
                <w:rFonts w:ascii="Arial" w:hAnsi="Arial" w:cs="Arial"/>
                <w:bCs/>
              </w:rPr>
              <w:t xml:space="preserve"> </w:t>
            </w:r>
            <w:r w:rsidRPr="00C32812">
              <w:rPr>
                <w:rFonts w:ascii="Arial" w:hAnsi="Arial" w:cs="Arial"/>
                <w:b/>
                <w:bCs/>
              </w:rPr>
              <w:t xml:space="preserve">Fig. 3 : </w:t>
            </w:r>
            <w:r w:rsidR="005A115A" w:rsidRPr="00C32812">
              <w:rPr>
                <w:rFonts w:ascii="Arial" w:hAnsi="Arial" w:cs="Arial"/>
                <w:b/>
                <w:bCs/>
              </w:rPr>
              <w:t>Photo de forêt</w:t>
            </w:r>
          </w:p>
        </w:tc>
      </w:tr>
      <w:tr w:rsidR="005A115A" w:rsidRPr="006A0E0D" w14:paraId="649F589B" w14:textId="77777777" w:rsidTr="005A115A">
        <w:tc>
          <w:tcPr>
            <w:tcW w:w="7061" w:type="dxa"/>
            <w:shd w:val="clear" w:color="auto" w:fill="FFFFFF" w:themeFill="background1"/>
          </w:tcPr>
          <w:p w14:paraId="47C33C0E" w14:textId="77777777" w:rsidR="005A115A" w:rsidRPr="006A0E0D" w:rsidRDefault="005A115A" w:rsidP="005A115A">
            <w:pPr>
              <w:spacing w:after="0" w:line="240" w:lineRule="auto"/>
              <w:jc w:val="both"/>
              <w:rPr>
                <w:rFonts w:ascii="Arial" w:hAnsi="Arial" w:cs="Arial"/>
                <w:bCs/>
              </w:rPr>
            </w:pPr>
            <w:r w:rsidRPr="006A0E0D">
              <w:rPr>
                <w:rFonts w:ascii="Arial" w:hAnsi="Arial" w:cs="Arial"/>
                <w:bCs/>
              </w:rPr>
              <w:t xml:space="preserve">sur l’état, le rythme de croissance et la longévité des espèces d’arbres constituant cette forêt ; sur les variations progressives de la composition des espèces et de la taille du peuplement ; sur les impacts des changements environnementaux sur les arbres parvenus à maturité, etc. </w:t>
            </w:r>
          </w:p>
        </w:tc>
        <w:tc>
          <w:tcPr>
            <w:tcW w:w="1869" w:type="dxa"/>
            <w:shd w:val="clear" w:color="auto" w:fill="FFFFFF" w:themeFill="background1"/>
          </w:tcPr>
          <w:p w14:paraId="27E3AE38" w14:textId="24D8C331" w:rsidR="005A115A" w:rsidRPr="00C32812" w:rsidRDefault="00C32812" w:rsidP="006A0E0D">
            <w:pPr>
              <w:autoSpaceDE w:val="0"/>
              <w:autoSpaceDN w:val="0"/>
              <w:adjustRightInd w:val="0"/>
              <w:spacing w:line="240" w:lineRule="auto"/>
              <w:rPr>
                <w:rFonts w:ascii="Arial" w:hAnsi="Arial" w:cs="Arial"/>
                <w:b/>
                <w:bCs/>
              </w:rPr>
            </w:pPr>
            <w:r w:rsidRPr="00C32812">
              <w:rPr>
                <w:rFonts w:ascii="Arial" w:hAnsi="Arial" w:cs="Arial"/>
                <w:b/>
                <w:bCs/>
              </w:rPr>
              <w:t xml:space="preserve">Fig. 4 : </w:t>
            </w:r>
            <w:r w:rsidR="005A115A" w:rsidRPr="00C32812">
              <w:rPr>
                <w:rFonts w:ascii="Arial" w:hAnsi="Arial" w:cs="Arial"/>
                <w:b/>
                <w:bCs/>
              </w:rPr>
              <w:t>Photo de forêt</w:t>
            </w:r>
          </w:p>
        </w:tc>
      </w:tr>
      <w:tr w:rsidR="005A115A" w:rsidRPr="006A0E0D" w14:paraId="1918EDE7" w14:textId="77777777" w:rsidTr="005A115A">
        <w:tc>
          <w:tcPr>
            <w:tcW w:w="7061" w:type="dxa"/>
            <w:shd w:val="clear" w:color="auto" w:fill="FFFFFF" w:themeFill="background1"/>
          </w:tcPr>
          <w:p w14:paraId="50173056" w14:textId="2AC4EC2B" w:rsidR="005A115A" w:rsidRPr="006A0E0D" w:rsidRDefault="005A115A">
            <w:pPr>
              <w:spacing w:after="0" w:line="240" w:lineRule="auto"/>
              <w:jc w:val="both"/>
              <w:rPr>
                <w:rFonts w:ascii="Arial" w:hAnsi="Arial" w:cs="Arial"/>
                <w:bCs/>
              </w:rPr>
            </w:pPr>
            <w:r w:rsidRPr="006A0E0D">
              <w:rPr>
                <w:rFonts w:ascii="Arial" w:hAnsi="Arial" w:cs="Arial"/>
                <w:bCs/>
              </w:rPr>
              <w:t xml:space="preserve">Ce suivi continu </w:t>
            </w:r>
            <w:r>
              <w:rPr>
                <w:rFonts w:ascii="Arial" w:hAnsi="Arial" w:cs="Arial"/>
                <w:bCs/>
              </w:rPr>
              <w:t>permet alors d’</w:t>
            </w:r>
            <w:r w:rsidRPr="006A0E0D">
              <w:rPr>
                <w:rFonts w:ascii="Arial" w:hAnsi="Arial" w:cs="Arial"/>
                <w:bCs/>
              </w:rPr>
              <w:t xml:space="preserve">évaluer l’impact des décisions affectant la végétation forestière. </w:t>
            </w:r>
            <w:r w:rsidR="00693050">
              <w:rPr>
                <w:rFonts w:ascii="Arial" w:hAnsi="Arial" w:cs="Arial"/>
                <w:bCs/>
              </w:rPr>
              <w:t>Dans ce cas</w:t>
            </w:r>
            <w:r w:rsidR="00C32812">
              <w:rPr>
                <w:rFonts w:ascii="Arial" w:hAnsi="Arial" w:cs="Arial"/>
                <w:bCs/>
              </w:rPr>
              <w:t>,</w:t>
            </w:r>
            <w:r w:rsidR="00693050">
              <w:rPr>
                <w:rFonts w:ascii="Arial" w:hAnsi="Arial" w:cs="Arial"/>
                <w:bCs/>
              </w:rPr>
              <w:t xml:space="preserve"> l</w:t>
            </w:r>
            <w:r>
              <w:rPr>
                <w:rFonts w:ascii="Arial" w:hAnsi="Arial" w:cs="Arial"/>
                <w:bCs/>
              </w:rPr>
              <w:t>es parcelles permanentes peuv</w:t>
            </w:r>
            <w:r w:rsidRPr="006A0E0D">
              <w:rPr>
                <w:rFonts w:ascii="Arial" w:hAnsi="Arial" w:cs="Arial"/>
                <w:bCs/>
              </w:rPr>
              <w:t xml:space="preserve">ent également constituer des </w:t>
            </w:r>
            <w:r w:rsidR="00693050">
              <w:rPr>
                <w:rFonts w:ascii="Arial" w:hAnsi="Arial" w:cs="Arial"/>
                <w:bCs/>
              </w:rPr>
              <w:t>sources</w:t>
            </w:r>
            <w:r w:rsidR="00693050" w:rsidRPr="006A0E0D">
              <w:rPr>
                <w:rFonts w:ascii="Arial" w:hAnsi="Arial" w:cs="Arial"/>
                <w:bCs/>
              </w:rPr>
              <w:t xml:space="preserve"> </w:t>
            </w:r>
            <w:r w:rsidRPr="006A0E0D">
              <w:rPr>
                <w:rFonts w:ascii="Arial" w:hAnsi="Arial" w:cs="Arial"/>
                <w:bCs/>
              </w:rPr>
              <w:t xml:space="preserve">de vérification au sol des mesures </w:t>
            </w:r>
            <w:r w:rsidR="00693050">
              <w:rPr>
                <w:rFonts w:ascii="Arial" w:hAnsi="Arial" w:cs="Arial"/>
                <w:bCs/>
              </w:rPr>
              <w:t xml:space="preserve">obtenues via les images </w:t>
            </w:r>
            <w:r w:rsidRPr="006A0E0D">
              <w:rPr>
                <w:rFonts w:ascii="Arial" w:hAnsi="Arial" w:cs="Arial"/>
                <w:bCs/>
              </w:rPr>
              <w:t xml:space="preserve">satellitaires. </w:t>
            </w:r>
            <w:r w:rsidRPr="006A0E0D">
              <w:rPr>
                <w:rFonts w:ascii="Arial" w:hAnsi="Arial" w:cs="Arial"/>
              </w:rPr>
              <w:t>Généralement, les parcelles carrées sont adoptées comme norme.</w:t>
            </w:r>
          </w:p>
        </w:tc>
        <w:tc>
          <w:tcPr>
            <w:tcW w:w="1869" w:type="dxa"/>
            <w:shd w:val="clear" w:color="auto" w:fill="FFFFFF" w:themeFill="background1"/>
          </w:tcPr>
          <w:p w14:paraId="24A64104" w14:textId="1C123256" w:rsidR="005A115A" w:rsidRPr="00C32812" w:rsidRDefault="00C32812" w:rsidP="006A0E0D">
            <w:pPr>
              <w:autoSpaceDE w:val="0"/>
              <w:autoSpaceDN w:val="0"/>
              <w:adjustRightInd w:val="0"/>
              <w:spacing w:line="240" w:lineRule="auto"/>
              <w:rPr>
                <w:rFonts w:ascii="Arial" w:hAnsi="Arial" w:cs="Arial"/>
                <w:b/>
                <w:bCs/>
              </w:rPr>
            </w:pPr>
            <w:r w:rsidRPr="00C32812">
              <w:rPr>
                <w:rFonts w:ascii="Arial" w:hAnsi="Arial" w:cs="Arial"/>
                <w:b/>
                <w:bCs/>
              </w:rPr>
              <w:t xml:space="preserve">Fig. 5 : </w:t>
            </w:r>
            <w:r>
              <w:rPr>
                <w:rFonts w:ascii="Arial" w:hAnsi="Arial" w:cs="Arial"/>
                <w:b/>
                <w:bCs/>
              </w:rPr>
              <w:t>Image satellites</w:t>
            </w:r>
          </w:p>
        </w:tc>
      </w:tr>
      <w:tr w:rsidR="001F5A4A" w:rsidRPr="006A0E0D" w14:paraId="70625824" w14:textId="77777777" w:rsidTr="005A115A">
        <w:tc>
          <w:tcPr>
            <w:tcW w:w="7061" w:type="dxa"/>
            <w:shd w:val="clear" w:color="auto" w:fill="FFFFFF" w:themeFill="background1"/>
          </w:tcPr>
          <w:p w14:paraId="6C6B7A47" w14:textId="77777777" w:rsidR="000209D6" w:rsidRPr="006A0E0D" w:rsidRDefault="00D77430" w:rsidP="006A0E0D">
            <w:pPr>
              <w:spacing w:after="0" w:line="240" w:lineRule="auto"/>
              <w:jc w:val="both"/>
              <w:rPr>
                <w:rFonts w:ascii="Arial" w:hAnsi="Arial" w:cs="Arial"/>
                <w:bCs/>
                <w:color w:val="FF0000"/>
              </w:rPr>
            </w:pPr>
            <w:r w:rsidRPr="006A0E0D">
              <w:rPr>
                <w:rFonts w:ascii="Arial" w:hAnsi="Arial" w:cs="Arial"/>
              </w:rPr>
              <w:t>P</w:t>
            </w:r>
            <w:r w:rsidR="008029BB" w:rsidRPr="006A0E0D">
              <w:rPr>
                <w:rFonts w:ascii="Arial" w:hAnsi="Arial" w:cs="Arial"/>
              </w:rPr>
              <w:t xml:space="preserve">our </w:t>
            </w:r>
            <w:r w:rsidR="00F45D6A" w:rsidRPr="006A0E0D">
              <w:rPr>
                <w:rFonts w:ascii="Arial" w:hAnsi="Arial" w:cs="Arial"/>
              </w:rPr>
              <w:t xml:space="preserve">le suivi </w:t>
            </w:r>
            <w:r w:rsidRPr="006A0E0D">
              <w:rPr>
                <w:rFonts w:ascii="Arial" w:hAnsi="Arial" w:cs="Arial"/>
              </w:rPr>
              <w:t>des écosystèmes forestiers, deux tailles de parcelles carrées sont recommandées : les parcelles de 100 m x 100 m (1 ha) et les parcelles de 20 m × 20 m. Ces deux tailles sont interchangeables ou peuvent être utilisées ensemble.</w:t>
            </w:r>
          </w:p>
        </w:tc>
        <w:tc>
          <w:tcPr>
            <w:tcW w:w="1869" w:type="dxa"/>
            <w:shd w:val="clear" w:color="auto" w:fill="FFFFFF" w:themeFill="background1"/>
          </w:tcPr>
          <w:p w14:paraId="723EDAF2" w14:textId="77777777" w:rsidR="001F5A4A" w:rsidRPr="006A0E0D" w:rsidRDefault="001F5A4A" w:rsidP="006A0E0D">
            <w:pPr>
              <w:autoSpaceDE w:val="0"/>
              <w:autoSpaceDN w:val="0"/>
              <w:adjustRightInd w:val="0"/>
              <w:spacing w:line="240" w:lineRule="auto"/>
              <w:rPr>
                <w:rFonts w:ascii="Arial" w:hAnsi="Arial" w:cs="Arial"/>
                <w:bCs/>
              </w:rPr>
            </w:pPr>
          </w:p>
        </w:tc>
      </w:tr>
      <w:tr w:rsidR="00D77430" w:rsidRPr="006A0E0D" w14:paraId="7E26F2D6" w14:textId="77777777" w:rsidTr="005A115A">
        <w:tc>
          <w:tcPr>
            <w:tcW w:w="7061" w:type="dxa"/>
            <w:shd w:val="clear" w:color="auto" w:fill="FFFFFF" w:themeFill="background1"/>
          </w:tcPr>
          <w:p w14:paraId="07DC6261" w14:textId="09374480" w:rsidR="00D77430" w:rsidRPr="006A0E0D" w:rsidRDefault="00E762AB" w:rsidP="0094607E">
            <w:pPr>
              <w:spacing w:line="240" w:lineRule="auto"/>
              <w:ind w:left="-18"/>
              <w:jc w:val="both"/>
              <w:rPr>
                <w:rFonts w:ascii="Arial" w:hAnsi="Arial" w:cs="Arial"/>
              </w:rPr>
            </w:pPr>
            <w:r w:rsidRPr="006A0E0D">
              <w:rPr>
                <w:rFonts w:ascii="Arial" w:hAnsi="Arial" w:cs="Arial"/>
              </w:rPr>
              <w:t>I</w:t>
            </w:r>
            <w:r w:rsidR="00D77430" w:rsidRPr="006A0E0D">
              <w:rPr>
                <w:rFonts w:ascii="Arial" w:hAnsi="Arial" w:cs="Arial"/>
              </w:rPr>
              <w:t xml:space="preserve">déalement, l’on devrait pouvoir s’occuper d’au moins deux parcelles </w:t>
            </w:r>
            <w:r w:rsidRPr="006A0E0D">
              <w:rPr>
                <w:rFonts w:ascii="Arial" w:hAnsi="Arial" w:cs="Arial"/>
              </w:rPr>
              <w:t xml:space="preserve">de 1 ha </w:t>
            </w:r>
            <w:r w:rsidR="00D77430" w:rsidRPr="006A0E0D">
              <w:rPr>
                <w:rFonts w:ascii="Arial" w:hAnsi="Arial" w:cs="Arial"/>
              </w:rPr>
              <w:t>par type de forêt</w:t>
            </w:r>
            <w:r w:rsidR="00A36527">
              <w:rPr>
                <w:rFonts w:ascii="Arial" w:hAnsi="Arial" w:cs="Arial"/>
              </w:rPr>
              <w:t>, ou « peuplement »,</w:t>
            </w:r>
            <w:r w:rsidR="00D77430" w:rsidRPr="006A0E0D">
              <w:rPr>
                <w:rFonts w:ascii="Arial" w:hAnsi="Arial" w:cs="Arial"/>
              </w:rPr>
              <w:t xml:space="preserve"> sélectionné.</w:t>
            </w:r>
            <w:r w:rsidR="005A115A">
              <w:rPr>
                <w:rFonts w:ascii="Arial" w:hAnsi="Arial" w:cs="Arial"/>
              </w:rPr>
              <w:t xml:space="preserve"> </w:t>
            </w:r>
            <w:r w:rsidRPr="006A0E0D">
              <w:rPr>
                <w:rFonts w:ascii="Arial" w:hAnsi="Arial" w:cs="Arial"/>
              </w:rPr>
              <w:t>Par ailleurs, q</w:t>
            </w:r>
            <w:r w:rsidR="00D77430" w:rsidRPr="006A0E0D">
              <w:rPr>
                <w:rFonts w:ascii="Arial" w:hAnsi="Arial" w:cs="Arial"/>
              </w:rPr>
              <w:t xml:space="preserve">uel que soit le peuplement, </w:t>
            </w:r>
            <w:r w:rsidR="00C32812">
              <w:rPr>
                <w:rFonts w:ascii="Arial" w:hAnsi="Arial" w:cs="Arial"/>
              </w:rPr>
              <w:t xml:space="preserve">l’on devrait utiliser au moins cinq </w:t>
            </w:r>
            <w:r w:rsidR="0094607E">
              <w:rPr>
                <w:rFonts w:ascii="Arial" w:hAnsi="Arial" w:cs="Arial"/>
              </w:rPr>
              <w:t>quadrats autonomes</w:t>
            </w:r>
            <w:r w:rsidR="00D77430" w:rsidRPr="006A0E0D">
              <w:rPr>
                <w:rFonts w:ascii="Arial" w:hAnsi="Arial" w:cs="Arial"/>
              </w:rPr>
              <w:t xml:space="preserve"> </w:t>
            </w:r>
            <w:r w:rsidRPr="006A0E0D">
              <w:rPr>
                <w:rFonts w:ascii="Arial" w:hAnsi="Arial" w:cs="Arial"/>
              </w:rPr>
              <w:t>de 20</w:t>
            </w:r>
            <w:r w:rsidR="00D77430" w:rsidRPr="006A0E0D">
              <w:rPr>
                <w:rFonts w:ascii="Arial" w:hAnsi="Arial" w:cs="Arial"/>
              </w:rPr>
              <w:t xml:space="preserve"> m × 20 m</w:t>
            </w:r>
            <w:r w:rsidR="00C32812">
              <w:rPr>
                <w:rFonts w:ascii="Arial" w:hAnsi="Arial" w:cs="Arial"/>
              </w:rPr>
              <w:t>.</w:t>
            </w:r>
            <w:r w:rsidR="00D77430" w:rsidRPr="006A0E0D">
              <w:rPr>
                <w:rFonts w:ascii="Arial" w:hAnsi="Arial" w:cs="Arial"/>
              </w:rPr>
              <w:t xml:space="preserve"> </w:t>
            </w:r>
            <w:r w:rsidR="00A36527">
              <w:rPr>
                <w:rFonts w:ascii="Arial" w:hAnsi="Arial" w:cs="Arial"/>
              </w:rPr>
              <w:t>En</w:t>
            </w:r>
            <w:r w:rsidR="00D77430" w:rsidRPr="006A0E0D">
              <w:rPr>
                <w:rFonts w:ascii="Arial" w:hAnsi="Arial" w:cs="Arial"/>
              </w:rPr>
              <w:t xml:space="preserve"> </w:t>
            </w:r>
            <w:r w:rsidR="00C32812" w:rsidRPr="006A0E0D">
              <w:rPr>
                <w:rFonts w:ascii="Arial" w:hAnsi="Arial" w:cs="Arial"/>
              </w:rPr>
              <w:t>tra</w:t>
            </w:r>
            <w:r w:rsidR="00C32812">
              <w:rPr>
                <w:rFonts w:ascii="Arial" w:hAnsi="Arial" w:cs="Arial"/>
              </w:rPr>
              <w:t>çant</w:t>
            </w:r>
            <w:r w:rsidR="00D77430" w:rsidRPr="006A0E0D">
              <w:rPr>
                <w:rFonts w:ascii="Arial" w:hAnsi="Arial" w:cs="Arial"/>
              </w:rPr>
              <w:t xml:space="preserve"> la courbe d’accumulation des espèces</w:t>
            </w:r>
            <w:r w:rsidR="00A36527">
              <w:rPr>
                <w:rFonts w:ascii="Arial" w:hAnsi="Arial" w:cs="Arial"/>
              </w:rPr>
              <w:t xml:space="preserve">, on pourra alors </w:t>
            </w:r>
            <w:r w:rsidR="00D77430" w:rsidRPr="006A0E0D">
              <w:rPr>
                <w:rFonts w:ascii="Arial" w:hAnsi="Arial" w:cs="Arial"/>
              </w:rPr>
              <w:t xml:space="preserve">déterminer si ce nombre est suffisant pour un peuplement donné. </w:t>
            </w:r>
          </w:p>
        </w:tc>
        <w:tc>
          <w:tcPr>
            <w:tcW w:w="1869" w:type="dxa"/>
            <w:shd w:val="clear" w:color="auto" w:fill="FFFFFF" w:themeFill="background1"/>
          </w:tcPr>
          <w:p w14:paraId="2CB6DC1C" w14:textId="77ED7C2B" w:rsidR="00D77430" w:rsidRPr="006A0E0D" w:rsidRDefault="00CC36EC" w:rsidP="0094607E">
            <w:pPr>
              <w:autoSpaceDE w:val="0"/>
              <w:autoSpaceDN w:val="0"/>
              <w:adjustRightInd w:val="0"/>
              <w:spacing w:line="240" w:lineRule="auto"/>
              <w:rPr>
                <w:rFonts w:ascii="Arial" w:hAnsi="Arial" w:cs="Arial"/>
                <w:bCs/>
              </w:rPr>
            </w:pPr>
            <w:r w:rsidRPr="006A0E0D">
              <w:rPr>
                <w:rFonts w:ascii="Arial" w:hAnsi="Arial" w:cs="Arial"/>
                <w:b/>
                <w:bCs/>
                <w:i/>
              </w:rPr>
              <w:t xml:space="preserve">Fig. </w:t>
            </w:r>
            <w:r w:rsidR="0094607E">
              <w:rPr>
                <w:rFonts w:ascii="Arial" w:hAnsi="Arial" w:cs="Arial"/>
                <w:b/>
                <w:bCs/>
                <w:i/>
              </w:rPr>
              <w:t>6</w:t>
            </w:r>
            <w:r w:rsidRPr="006A0E0D">
              <w:rPr>
                <w:rFonts w:ascii="Arial" w:hAnsi="Arial" w:cs="Arial"/>
                <w:b/>
                <w:bCs/>
                <w:i/>
              </w:rPr>
              <w:t xml:space="preserve"> : courbe </w:t>
            </w:r>
            <w:r w:rsidR="00F45D6A" w:rsidRPr="006A0E0D">
              <w:rPr>
                <w:rFonts w:ascii="Arial" w:hAnsi="Arial" w:cs="Arial"/>
                <w:b/>
                <w:bCs/>
                <w:i/>
              </w:rPr>
              <w:t>d’accumulation des espèces pour déterminer le nombre de parcelles à utiliser</w:t>
            </w:r>
          </w:p>
        </w:tc>
      </w:tr>
      <w:tr w:rsidR="00D77430" w:rsidRPr="006A0E0D" w14:paraId="699CAD89" w14:textId="77777777" w:rsidTr="005A115A">
        <w:tc>
          <w:tcPr>
            <w:tcW w:w="7061" w:type="dxa"/>
            <w:shd w:val="clear" w:color="auto" w:fill="FFFFFF" w:themeFill="background1"/>
          </w:tcPr>
          <w:p w14:paraId="373F05B0" w14:textId="77777777" w:rsidR="00D77430" w:rsidRPr="006A0E0D" w:rsidRDefault="00E762AB" w:rsidP="005A115A">
            <w:pPr>
              <w:pStyle w:val="Paragraphedeliste"/>
              <w:spacing w:line="240" w:lineRule="auto"/>
              <w:ind w:left="0"/>
              <w:jc w:val="both"/>
              <w:rPr>
                <w:rFonts w:ascii="Arial" w:hAnsi="Arial" w:cs="Arial"/>
              </w:rPr>
            </w:pPr>
            <w:r w:rsidRPr="006A0E0D">
              <w:rPr>
                <w:rFonts w:ascii="Arial" w:hAnsi="Arial" w:cs="Arial"/>
              </w:rPr>
              <w:t xml:space="preserve">Afin </w:t>
            </w:r>
            <w:r w:rsidR="005A115A">
              <w:rPr>
                <w:rFonts w:ascii="Arial" w:hAnsi="Arial" w:cs="Arial"/>
              </w:rPr>
              <w:t>d’éviter les biais</w:t>
            </w:r>
            <w:r w:rsidRPr="006A0E0D">
              <w:rPr>
                <w:rFonts w:ascii="Arial" w:hAnsi="Arial" w:cs="Arial"/>
              </w:rPr>
              <w:t>, les parcelles d</w:t>
            </w:r>
            <w:r w:rsidR="006A0E0D">
              <w:rPr>
                <w:rFonts w:ascii="Arial" w:hAnsi="Arial" w:cs="Arial"/>
              </w:rPr>
              <w:t>oivent</w:t>
            </w:r>
            <w:r w:rsidRPr="006A0E0D">
              <w:rPr>
                <w:rFonts w:ascii="Arial" w:hAnsi="Arial" w:cs="Arial"/>
              </w:rPr>
              <w:t xml:space="preserve"> être dispersées au hasard dans les peuplements </w:t>
            </w:r>
            <w:r w:rsidR="00C40987" w:rsidRPr="006A0E0D">
              <w:rPr>
                <w:rFonts w:ascii="Arial" w:hAnsi="Arial" w:cs="Arial"/>
              </w:rPr>
              <w:t>choisis</w:t>
            </w:r>
            <w:r w:rsidR="00F45D6A" w:rsidRPr="006A0E0D">
              <w:rPr>
                <w:rFonts w:ascii="Arial" w:hAnsi="Arial" w:cs="Arial"/>
              </w:rPr>
              <w:t xml:space="preserve">. De </w:t>
            </w:r>
            <w:r w:rsidRPr="006A0E0D">
              <w:rPr>
                <w:rFonts w:ascii="Arial" w:hAnsi="Arial" w:cs="Arial"/>
              </w:rPr>
              <w:t>même, l’emplacement d’une parcelle</w:t>
            </w:r>
            <w:r w:rsidR="006A0E0D">
              <w:rPr>
                <w:rFonts w:ascii="Arial" w:hAnsi="Arial" w:cs="Arial"/>
              </w:rPr>
              <w:t xml:space="preserve"> dans chaque peuplement sera</w:t>
            </w:r>
            <w:r w:rsidRPr="006A0E0D">
              <w:rPr>
                <w:rFonts w:ascii="Arial" w:hAnsi="Arial" w:cs="Arial"/>
              </w:rPr>
              <w:t xml:space="preserve"> choisi au hasard.</w:t>
            </w:r>
            <w:r w:rsidR="00F45D6A" w:rsidRPr="006A0E0D">
              <w:rPr>
                <w:rFonts w:ascii="Arial" w:hAnsi="Arial" w:cs="Arial"/>
              </w:rPr>
              <w:t xml:space="preserve"> </w:t>
            </w:r>
          </w:p>
        </w:tc>
        <w:tc>
          <w:tcPr>
            <w:tcW w:w="1869" w:type="dxa"/>
            <w:shd w:val="clear" w:color="auto" w:fill="FFFFFF" w:themeFill="background1"/>
          </w:tcPr>
          <w:p w14:paraId="07C9F3DA" w14:textId="77777777" w:rsidR="00D77430" w:rsidRPr="006A0E0D" w:rsidRDefault="00D77430" w:rsidP="006A0E0D">
            <w:pPr>
              <w:autoSpaceDE w:val="0"/>
              <w:autoSpaceDN w:val="0"/>
              <w:adjustRightInd w:val="0"/>
              <w:spacing w:line="240" w:lineRule="auto"/>
              <w:rPr>
                <w:rFonts w:ascii="Arial" w:hAnsi="Arial" w:cs="Arial"/>
                <w:bCs/>
              </w:rPr>
            </w:pPr>
          </w:p>
        </w:tc>
      </w:tr>
      <w:tr w:rsidR="00F45D6A" w:rsidRPr="006A0E0D" w14:paraId="703E565E" w14:textId="77777777" w:rsidTr="005A115A">
        <w:tc>
          <w:tcPr>
            <w:tcW w:w="7061" w:type="dxa"/>
            <w:shd w:val="clear" w:color="auto" w:fill="FFFFFF" w:themeFill="background1"/>
          </w:tcPr>
          <w:p w14:paraId="3ABA5B94" w14:textId="77777777" w:rsidR="00F45D6A" w:rsidRPr="006A0E0D" w:rsidRDefault="00F45D6A" w:rsidP="006A0E0D">
            <w:pPr>
              <w:pStyle w:val="Paragraphedeliste"/>
              <w:spacing w:after="160" w:line="240" w:lineRule="auto"/>
              <w:ind w:left="0"/>
              <w:jc w:val="both"/>
              <w:rPr>
                <w:rFonts w:ascii="Arial" w:hAnsi="Arial" w:cs="Arial"/>
              </w:rPr>
            </w:pPr>
            <w:r w:rsidRPr="006A0E0D">
              <w:rPr>
                <w:rFonts w:ascii="Arial" w:hAnsi="Arial" w:cs="Arial"/>
              </w:rPr>
              <w:t xml:space="preserve">En règle générale, il convient de respecter certains principes de base : </w:t>
            </w:r>
          </w:p>
          <w:p w14:paraId="1A580B71" w14:textId="23F30FA4" w:rsidR="00F45D6A" w:rsidRPr="006A0E0D" w:rsidRDefault="00F45D6A" w:rsidP="006A0E0D">
            <w:pPr>
              <w:pStyle w:val="Paragraphedeliste"/>
              <w:numPr>
                <w:ilvl w:val="0"/>
                <w:numId w:val="6"/>
              </w:numPr>
              <w:spacing w:after="160" w:line="240" w:lineRule="auto"/>
              <w:jc w:val="both"/>
              <w:rPr>
                <w:rFonts w:ascii="Arial" w:hAnsi="Arial" w:cs="Arial"/>
              </w:rPr>
            </w:pPr>
            <w:r w:rsidRPr="006A0E0D">
              <w:rPr>
                <w:rFonts w:ascii="Arial" w:hAnsi="Arial" w:cs="Arial"/>
              </w:rPr>
              <w:t>Une distance équivalent</w:t>
            </w:r>
            <w:r w:rsidR="000A75A2">
              <w:rPr>
                <w:rFonts w:ascii="Arial" w:hAnsi="Arial" w:cs="Arial"/>
              </w:rPr>
              <w:t>e</w:t>
            </w:r>
            <w:r w:rsidRPr="006A0E0D">
              <w:rPr>
                <w:rFonts w:ascii="Arial" w:hAnsi="Arial" w:cs="Arial"/>
              </w:rPr>
              <w:t xml:space="preserve"> à trois fois la hauteur du couvert devrait séparer la parcelle de la lisière d'un peuplement non forestier pour éliminer les effets de lisière. </w:t>
            </w:r>
          </w:p>
          <w:p w14:paraId="3EBBBD40" w14:textId="77777777" w:rsidR="00F45D6A" w:rsidRPr="006A0E0D" w:rsidRDefault="00F45D6A" w:rsidP="006A0E0D">
            <w:pPr>
              <w:pStyle w:val="Paragraphedeliste"/>
              <w:numPr>
                <w:ilvl w:val="0"/>
                <w:numId w:val="6"/>
              </w:numPr>
              <w:spacing w:after="160" w:line="240" w:lineRule="auto"/>
              <w:jc w:val="both"/>
              <w:rPr>
                <w:rFonts w:ascii="Arial" w:hAnsi="Arial" w:cs="Arial"/>
              </w:rPr>
            </w:pPr>
            <w:r w:rsidRPr="006A0E0D">
              <w:rPr>
                <w:rFonts w:ascii="Arial" w:hAnsi="Arial" w:cs="Arial"/>
              </w:rPr>
              <w:t xml:space="preserve">Les parcelles de 1 ha devraient être séparées par au moins 250 m et les quadrats de 20 m × 20 m par au moins 50 m. </w:t>
            </w:r>
          </w:p>
          <w:p w14:paraId="435819DD" w14:textId="77777777" w:rsidR="00F45D6A" w:rsidRPr="006A0E0D" w:rsidRDefault="00F45D6A" w:rsidP="006A0E0D">
            <w:pPr>
              <w:pStyle w:val="Paragraphedeliste"/>
              <w:numPr>
                <w:ilvl w:val="0"/>
                <w:numId w:val="6"/>
              </w:numPr>
              <w:spacing w:after="160" w:line="240" w:lineRule="auto"/>
              <w:jc w:val="both"/>
              <w:rPr>
                <w:rFonts w:ascii="Arial" w:hAnsi="Arial" w:cs="Arial"/>
              </w:rPr>
            </w:pPr>
            <w:r w:rsidRPr="006A0E0D">
              <w:rPr>
                <w:rFonts w:ascii="Arial" w:hAnsi="Arial" w:cs="Arial"/>
              </w:rPr>
              <w:lastRenderedPageBreak/>
              <w:t xml:space="preserve">Dans les peuplements petits ou irréguliers où les conditions </w:t>
            </w:r>
            <w:r w:rsidR="006A0E0D">
              <w:rPr>
                <w:rFonts w:ascii="Arial" w:hAnsi="Arial" w:cs="Arial"/>
              </w:rPr>
              <w:t xml:space="preserve">précédentes </w:t>
            </w:r>
            <w:r w:rsidRPr="006A0E0D">
              <w:rPr>
                <w:rFonts w:ascii="Arial" w:hAnsi="Arial" w:cs="Arial"/>
              </w:rPr>
              <w:t>ne peuvent être respectées, seuls des quadrats autonomes de 20 m × 20 m (et non pas des parcelles de 1 ha) devraient être établis…</w:t>
            </w:r>
          </w:p>
          <w:p w14:paraId="25E5166B" w14:textId="77777777" w:rsidR="00F45D6A" w:rsidRPr="006A0E0D" w:rsidRDefault="00F45D6A" w:rsidP="006A0E0D">
            <w:pPr>
              <w:pStyle w:val="Paragraphedeliste"/>
              <w:numPr>
                <w:ilvl w:val="0"/>
                <w:numId w:val="6"/>
              </w:numPr>
              <w:spacing w:after="160" w:line="240" w:lineRule="auto"/>
              <w:jc w:val="both"/>
              <w:rPr>
                <w:rFonts w:ascii="Arial" w:hAnsi="Arial" w:cs="Arial"/>
              </w:rPr>
            </w:pPr>
            <w:r w:rsidRPr="006A0E0D">
              <w:rPr>
                <w:rFonts w:ascii="Arial" w:hAnsi="Arial" w:cs="Arial"/>
              </w:rPr>
              <w:t>Il faut éviter d’établir des parcelles là où l’on trouve une va</w:t>
            </w:r>
            <w:r w:rsidR="005A115A">
              <w:rPr>
                <w:rFonts w:ascii="Arial" w:hAnsi="Arial" w:cs="Arial"/>
              </w:rPr>
              <w:t xml:space="preserve">riation importante et atypique </w:t>
            </w:r>
            <w:r w:rsidRPr="006A0E0D">
              <w:rPr>
                <w:rFonts w:ascii="Arial" w:hAnsi="Arial" w:cs="Arial"/>
              </w:rPr>
              <w:t xml:space="preserve">de la végétation ou en présence de ruptures écologiques importantes, comme un petit lac, un champ, une rivière. </w:t>
            </w:r>
          </w:p>
          <w:p w14:paraId="6099C642" w14:textId="77777777" w:rsidR="00F45D6A" w:rsidRPr="006A0E0D" w:rsidRDefault="00F45D6A" w:rsidP="006A0E0D">
            <w:pPr>
              <w:pStyle w:val="Paragraphedeliste"/>
              <w:numPr>
                <w:ilvl w:val="0"/>
                <w:numId w:val="6"/>
              </w:numPr>
              <w:spacing w:after="160" w:line="240" w:lineRule="auto"/>
              <w:jc w:val="both"/>
              <w:rPr>
                <w:rFonts w:ascii="Arial" w:hAnsi="Arial" w:cs="Arial"/>
              </w:rPr>
            </w:pPr>
            <w:r w:rsidRPr="006A0E0D">
              <w:rPr>
                <w:rFonts w:ascii="Arial" w:hAnsi="Arial" w:cs="Arial"/>
              </w:rPr>
              <w:t>Il faut aussi éviter les endroits où des routes ou des sentiers traversent les parcelles, à moins que l’étude ne porte sur l’impact de l’utilisation de ces sentiers. Dans ce cas, il faudrait motiver la décision.</w:t>
            </w:r>
          </w:p>
        </w:tc>
        <w:tc>
          <w:tcPr>
            <w:tcW w:w="1869" w:type="dxa"/>
            <w:shd w:val="clear" w:color="auto" w:fill="FFFFFF" w:themeFill="background1"/>
          </w:tcPr>
          <w:p w14:paraId="0657C572" w14:textId="77777777" w:rsidR="00F45D6A" w:rsidRPr="006A0E0D" w:rsidRDefault="00F45D6A" w:rsidP="006A0E0D">
            <w:pPr>
              <w:autoSpaceDE w:val="0"/>
              <w:autoSpaceDN w:val="0"/>
              <w:adjustRightInd w:val="0"/>
              <w:spacing w:line="240" w:lineRule="auto"/>
              <w:rPr>
                <w:rFonts w:ascii="Arial" w:hAnsi="Arial" w:cs="Arial"/>
                <w:bCs/>
              </w:rPr>
            </w:pPr>
          </w:p>
        </w:tc>
      </w:tr>
      <w:tr w:rsidR="00F45D6A" w:rsidRPr="006A0E0D" w14:paraId="4370BB95" w14:textId="77777777" w:rsidTr="005A115A">
        <w:tc>
          <w:tcPr>
            <w:tcW w:w="7061" w:type="dxa"/>
            <w:shd w:val="clear" w:color="auto" w:fill="FFFFFF" w:themeFill="background1"/>
          </w:tcPr>
          <w:p w14:paraId="22843795" w14:textId="77777777" w:rsidR="00F45D6A" w:rsidRPr="006A0E0D" w:rsidRDefault="00F45D6A" w:rsidP="0094607E">
            <w:pPr>
              <w:spacing w:after="0" w:line="240" w:lineRule="auto"/>
              <w:jc w:val="both"/>
              <w:rPr>
                <w:rFonts w:ascii="Arial" w:hAnsi="Arial" w:cs="Arial"/>
              </w:rPr>
            </w:pPr>
            <w:r w:rsidRPr="006A0E0D">
              <w:rPr>
                <w:rFonts w:ascii="Arial" w:hAnsi="Arial" w:cs="Arial"/>
              </w:rPr>
              <w:t xml:space="preserve">Il est essentiel de recueillir et de noter les données suivantes : </w:t>
            </w:r>
          </w:p>
          <w:p w14:paraId="4555041A" w14:textId="77777777" w:rsidR="00F45D6A" w:rsidRPr="006A0E0D" w:rsidRDefault="00F45D6A" w:rsidP="0094607E">
            <w:pPr>
              <w:pStyle w:val="Paragraphedeliste"/>
              <w:numPr>
                <w:ilvl w:val="0"/>
                <w:numId w:val="7"/>
              </w:numPr>
              <w:spacing w:after="0" w:line="240" w:lineRule="auto"/>
              <w:jc w:val="both"/>
              <w:rPr>
                <w:rFonts w:ascii="Arial" w:hAnsi="Arial" w:cs="Arial"/>
              </w:rPr>
            </w:pPr>
            <w:r w:rsidRPr="006A0E0D">
              <w:rPr>
                <w:rFonts w:ascii="Arial" w:hAnsi="Arial" w:cs="Arial"/>
              </w:rPr>
              <w:t xml:space="preserve">le numéro de l’étiquette et l’espèce de tous les arbres sur pied dont le </w:t>
            </w:r>
            <w:r w:rsidR="006A0E0D" w:rsidRPr="006A0E0D">
              <w:rPr>
                <w:rFonts w:ascii="Arial" w:hAnsi="Arial" w:cs="Arial"/>
              </w:rPr>
              <w:t xml:space="preserve">diamètre à hauteur de poitrine </w:t>
            </w:r>
            <w:r w:rsidR="006A0E0D">
              <w:rPr>
                <w:rFonts w:ascii="Arial" w:hAnsi="Arial" w:cs="Arial"/>
              </w:rPr>
              <w:t>(</w:t>
            </w:r>
            <w:r w:rsidRPr="006A0E0D">
              <w:rPr>
                <w:rFonts w:ascii="Arial" w:hAnsi="Arial" w:cs="Arial"/>
              </w:rPr>
              <w:t>dhp</w:t>
            </w:r>
            <w:r w:rsidR="006A0E0D">
              <w:rPr>
                <w:rFonts w:ascii="Arial" w:hAnsi="Arial" w:cs="Arial"/>
              </w:rPr>
              <w:t>)</w:t>
            </w:r>
            <w:r w:rsidRPr="006A0E0D">
              <w:rPr>
                <w:rFonts w:ascii="Arial" w:hAnsi="Arial" w:cs="Arial"/>
              </w:rPr>
              <w:t xml:space="preserve"> égale ou dépasse 10 cm (4 cm et plus dans les forêts rabougries)</w:t>
            </w:r>
          </w:p>
          <w:p w14:paraId="698B4364" w14:textId="77777777" w:rsidR="00F45D6A" w:rsidRPr="006A0E0D" w:rsidRDefault="00F45D6A" w:rsidP="0094607E">
            <w:pPr>
              <w:pStyle w:val="Paragraphedeliste"/>
              <w:numPr>
                <w:ilvl w:val="0"/>
                <w:numId w:val="7"/>
              </w:numPr>
              <w:spacing w:after="0" w:line="240" w:lineRule="auto"/>
              <w:jc w:val="both"/>
              <w:rPr>
                <w:rFonts w:ascii="Arial" w:hAnsi="Arial" w:cs="Arial"/>
              </w:rPr>
            </w:pPr>
            <w:r w:rsidRPr="006A0E0D">
              <w:rPr>
                <w:rFonts w:ascii="Arial" w:hAnsi="Arial" w:cs="Arial"/>
              </w:rPr>
              <w:t>l’emplacement de tous les arbres numérotés (localisés sur un plan)</w:t>
            </w:r>
          </w:p>
          <w:p w14:paraId="1EA54D63" w14:textId="77777777" w:rsidR="00F45D6A" w:rsidRPr="006A0E0D" w:rsidRDefault="00F45D6A" w:rsidP="0094607E">
            <w:pPr>
              <w:pStyle w:val="Paragraphedeliste"/>
              <w:numPr>
                <w:ilvl w:val="0"/>
                <w:numId w:val="7"/>
              </w:numPr>
              <w:spacing w:after="0" w:line="240" w:lineRule="auto"/>
              <w:jc w:val="both"/>
              <w:rPr>
                <w:rFonts w:ascii="Arial" w:hAnsi="Arial" w:cs="Arial"/>
              </w:rPr>
            </w:pPr>
            <w:r w:rsidRPr="006A0E0D">
              <w:rPr>
                <w:rFonts w:ascii="Arial" w:hAnsi="Arial" w:cs="Arial"/>
              </w:rPr>
              <w:t xml:space="preserve">le </w:t>
            </w:r>
            <w:r w:rsidR="006A0E0D">
              <w:rPr>
                <w:rFonts w:ascii="Arial" w:hAnsi="Arial" w:cs="Arial"/>
              </w:rPr>
              <w:t>dhp</w:t>
            </w:r>
            <w:r w:rsidRPr="006A0E0D">
              <w:rPr>
                <w:rFonts w:ascii="Arial" w:hAnsi="Arial" w:cs="Arial"/>
              </w:rPr>
              <w:t xml:space="preserve"> de tous les arbres numérotés</w:t>
            </w:r>
            <w:r w:rsidR="008029BB" w:rsidRPr="006A0E0D">
              <w:rPr>
                <w:rFonts w:ascii="Arial" w:hAnsi="Arial" w:cs="Arial"/>
              </w:rPr>
              <w:t xml:space="preserve"> (le dhp est mesuré selon des règles précises)</w:t>
            </w:r>
          </w:p>
          <w:p w14:paraId="4696A4AF" w14:textId="77777777" w:rsidR="00F45D6A" w:rsidRPr="006A0E0D" w:rsidRDefault="00F45D6A" w:rsidP="0094607E">
            <w:pPr>
              <w:pStyle w:val="Paragraphedeliste"/>
              <w:numPr>
                <w:ilvl w:val="0"/>
                <w:numId w:val="7"/>
              </w:numPr>
              <w:spacing w:after="0" w:line="240" w:lineRule="auto"/>
              <w:jc w:val="both"/>
              <w:rPr>
                <w:rFonts w:ascii="Arial" w:hAnsi="Arial" w:cs="Arial"/>
              </w:rPr>
            </w:pPr>
            <w:r w:rsidRPr="006A0E0D">
              <w:rPr>
                <w:rFonts w:ascii="Arial" w:hAnsi="Arial" w:cs="Arial"/>
              </w:rPr>
              <w:t>l’état général de tous les arbres numérotés</w:t>
            </w:r>
          </w:p>
        </w:tc>
        <w:tc>
          <w:tcPr>
            <w:tcW w:w="1869" w:type="dxa"/>
            <w:shd w:val="clear" w:color="auto" w:fill="FFFFFF" w:themeFill="background1"/>
          </w:tcPr>
          <w:p w14:paraId="1C389FA0" w14:textId="5594BE5E" w:rsidR="00F45D6A" w:rsidRPr="006A0E0D" w:rsidRDefault="00A230DA" w:rsidP="006A0E0D">
            <w:pPr>
              <w:spacing w:line="240" w:lineRule="auto"/>
              <w:jc w:val="both"/>
              <w:rPr>
                <w:rFonts w:ascii="Arial" w:hAnsi="Arial" w:cs="Arial"/>
                <w:b/>
                <w:bCs/>
                <w:i/>
                <w:color w:val="44546A" w:themeColor="text2"/>
              </w:rPr>
            </w:pPr>
            <w:r w:rsidRPr="006A0E0D">
              <w:rPr>
                <w:rFonts w:ascii="Arial" w:hAnsi="Arial" w:cs="Arial"/>
                <w:b/>
                <w:bCs/>
                <w:i/>
                <w:color w:val="44546A" w:themeColor="text2"/>
              </w:rPr>
              <w:t xml:space="preserve">Fig </w:t>
            </w:r>
            <w:r w:rsidR="0094607E">
              <w:rPr>
                <w:rFonts w:ascii="Arial" w:hAnsi="Arial" w:cs="Arial"/>
                <w:b/>
                <w:bCs/>
                <w:i/>
                <w:color w:val="44546A" w:themeColor="text2"/>
              </w:rPr>
              <w:t>7</w:t>
            </w:r>
            <w:r w:rsidRPr="006A0E0D">
              <w:rPr>
                <w:rFonts w:ascii="Arial" w:hAnsi="Arial" w:cs="Arial"/>
                <w:b/>
                <w:bCs/>
                <w:i/>
                <w:color w:val="44546A" w:themeColor="text2"/>
              </w:rPr>
              <w:t> : Comment mesurer le dhp dans différents cas</w:t>
            </w:r>
          </w:p>
          <w:p w14:paraId="7F643C78" w14:textId="388D30AF" w:rsidR="00A230DA" w:rsidRPr="006A0E0D" w:rsidRDefault="00A230DA" w:rsidP="0094607E">
            <w:pPr>
              <w:spacing w:line="240" w:lineRule="auto"/>
              <w:jc w:val="both"/>
              <w:rPr>
                <w:rFonts w:ascii="Arial" w:hAnsi="Arial" w:cs="Arial"/>
                <w:b/>
                <w:bCs/>
                <w:i/>
                <w:color w:val="44546A" w:themeColor="text2"/>
              </w:rPr>
            </w:pPr>
            <w:r w:rsidRPr="006A0E0D">
              <w:rPr>
                <w:rFonts w:ascii="Arial" w:hAnsi="Arial" w:cs="Arial"/>
                <w:b/>
                <w:bCs/>
                <w:i/>
                <w:color w:val="44546A" w:themeColor="text2"/>
              </w:rPr>
              <w:t xml:space="preserve">Fig </w:t>
            </w:r>
            <w:r w:rsidR="0094607E">
              <w:rPr>
                <w:rFonts w:ascii="Arial" w:hAnsi="Arial" w:cs="Arial"/>
                <w:b/>
                <w:bCs/>
                <w:i/>
                <w:color w:val="44546A" w:themeColor="text2"/>
              </w:rPr>
              <w:t>8</w:t>
            </w:r>
            <w:r w:rsidRPr="006A0E0D">
              <w:rPr>
                <w:rFonts w:ascii="Arial" w:hAnsi="Arial" w:cs="Arial"/>
                <w:b/>
                <w:bCs/>
                <w:i/>
                <w:color w:val="44546A" w:themeColor="text2"/>
              </w:rPr>
              <w:t> : Comment décrire l’état des arbres</w:t>
            </w:r>
          </w:p>
        </w:tc>
      </w:tr>
      <w:tr w:rsidR="00F45D6A" w:rsidRPr="006A0E0D" w14:paraId="18A1D1CC" w14:textId="77777777" w:rsidTr="005A115A">
        <w:tc>
          <w:tcPr>
            <w:tcW w:w="7061" w:type="dxa"/>
            <w:shd w:val="clear" w:color="auto" w:fill="FFFFFF" w:themeFill="background1"/>
          </w:tcPr>
          <w:p w14:paraId="56D923DC" w14:textId="77777777" w:rsidR="00F45D6A" w:rsidRPr="006A0E0D" w:rsidRDefault="005A115A" w:rsidP="0094607E">
            <w:pPr>
              <w:spacing w:after="0" w:line="240" w:lineRule="auto"/>
              <w:jc w:val="both"/>
              <w:rPr>
                <w:rFonts w:ascii="Arial" w:hAnsi="Arial" w:cs="Arial"/>
              </w:rPr>
            </w:pPr>
            <w:r>
              <w:rPr>
                <w:rFonts w:ascii="Arial" w:hAnsi="Arial" w:cs="Arial"/>
              </w:rPr>
              <w:t>On recueille et on consigne aussi</w:t>
            </w:r>
            <w:r w:rsidR="00F45D6A" w:rsidRPr="006A0E0D">
              <w:rPr>
                <w:rFonts w:ascii="Arial" w:hAnsi="Arial" w:cs="Arial"/>
              </w:rPr>
              <w:t xml:space="preserve"> les données suivantes :</w:t>
            </w:r>
          </w:p>
          <w:p w14:paraId="63419BDE" w14:textId="77777777" w:rsidR="00F45D6A" w:rsidRPr="006A0E0D" w:rsidRDefault="00F45D6A" w:rsidP="0094607E">
            <w:pPr>
              <w:pStyle w:val="Paragraphedeliste"/>
              <w:numPr>
                <w:ilvl w:val="0"/>
                <w:numId w:val="7"/>
              </w:numPr>
              <w:spacing w:after="0" w:line="240" w:lineRule="auto"/>
              <w:jc w:val="both"/>
              <w:rPr>
                <w:rFonts w:ascii="Arial" w:hAnsi="Arial" w:cs="Arial"/>
              </w:rPr>
            </w:pPr>
            <w:r w:rsidRPr="006A0E0D">
              <w:rPr>
                <w:rFonts w:ascii="Arial" w:hAnsi="Arial" w:cs="Arial"/>
              </w:rPr>
              <w:t>la hauteur de tous les arbres numérotés</w:t>
            </w:r>
          </w:p>
          <w:p w14:paraId="67057188" w14:textId="77777777" w:rsidR="00F45D6A" w:rsidRPr="006A0E0D" w:rsidRDefault="00F45D6A" w:rsidP="0094607E">
            <w:pPr>
              <w:pStyle w:val="Paragraphedeliste"/>
              <w:numPr>
                <w:ilvl w:val="0"/>
                <w:numId w:val="7"/>
              </w:numPr>
              <w:spacing w:after="0" w:line="240" w:lineRule="auto"/>
              <w:jc w:val="both"/>
              <w:rPr>
                <w:rFonts w:ascii="Arial" w:hAnsi="Arial" w:cs="Arial"/>
              </w:rPr>
            </w:pPr>
            <w:r w:rsidRPr="006A0E0D">
              <w:rPr>
                <w:rFonts w:ascii="Arial" w:hAnsi="Arial" w:cs="Arial"/>
              </w:rPr>
              <w:t>la hauteur de la branche vivante la plus basse de tous les arbres numérotés</w:t>
            </w:r>
          </w:p>
          <w:p w14:paraId="56E15F19" w14:textId="77777777" w:rsidR="00F45D6A" w:rsidRPr="006A0E0D" w:rsidRDefault="00F45D6A" w:rsidP="0094607E">
            <w:pPr>
              <w:pStyle w:val="Paragraphedeliste"/>
              <w:numPr>
                <w:ilvl w:val="0"/>
                <w:numId w:val="7"/>
              </w:numPr>
              <w:spacing w:after="0" w:line="240" w:lineRule="auto"/>
              <w:jc w:val="both"/>
              <w:rPr>
                <w:rFonts w:ascii="Arial" w:hAnsi="Arial" w:cs="Arial"/>
              </w:rPr>
            </w:pPr>
            <w:r w:rsidRPr="006A0E0D">
              <w:rPr>
                <w:rFonts w:ascii="Arial" w:hAnsi="Arial" w:cs="Arial"/>
              </w:rPr>
              <w:t xml:space="preserve">l’âge du peuplement </w:t>
            </w:r>
          </w:p>
          <w:p w14:paraId="1F0A231E" w14:textId="77777777" w:rsidR="00F45D6A" w:rsidRPr="006A0E0D" w:rsidRDefault="00F45D6A" w:rsidP="0094607E">
            <w:pPr>
              <w:pStyle w:val="Paragraphedeliste"/>
              <w:numPr>
                <w:ilvl w:val="0"/>
                <w:numId w:val="7"/>
              </w:numPr>
              <w:spacing w:after="0" w:line="240" w:lineRule="auto"/>
              <w:jc w:val="both"/>
              <w:rPr>
                <w:rFonts w:ascii="Arial" w:hAnsi="Arial" w:cs="Arial"/>
              </w:rPr>
            </w:pPr>
            <w:r w:rsidRPr="006A0E0D">
              <w:rPr>
                <w:rFonts w:ascii="Arial" w:hAnsi="Arial" w:cs="Arial"/>
              </w:rPr>
              <w:t>des photographies prises à partir de positions déterminées à des heures et à des dates déterminées</w:t>
            </w:r>
          </w:p>
          <w:p w14:paraId="62F1F1FD" w14:textId="77777777" w:rsidR="00F45D6A" w:rsidRPr="006A0E0D" w:rsidRDefault="00F45D6A" w:rsidP="0094607E">
            <w:pPr>
              <w:pStyle w:val="Paragraphedeliste"/>
              <w:numPr>
                <w:ilvl w:val="0"/>
                <w:numId w:val="7"/>
              </w:numPr>
              <w:spacing w:after="0" w:line="240" w:lineRule="auto"/>
              <w:jc w:val="both"/>
              <w:rPr>
                <w:rFonts w:ascii="Arial" w:hAnsi="Arial" w:cs="Arial"/>
              </w:rPr>
            </w:pPr>
            <w:r w:rsidRPr="006A0E0D">
              <w:rPr>
                <w:rFonts w:ascii="Arial" w:hAnsi="Arial" w:cs="Arial"/>
              </w:rPr>
              <w:t>le degré de fermeture du couvert (par quadrat)</w:t>
            </w:r>
          </w:p>
        </w:tc>
        <w:tc>
          <w:tcPr>
            <w:tcW w:w="1869" w:type="dxa"/>
            <w:shd w:val="clear" w:color="auto" w:fill="FFFFFF" w:themeFill="background1"/>
          </w:tcPr>
          <w:p w14:paraId="76DD6AAC" w14:textId="4A0A5332" w:rsidR="00F45D6A" w:rsidRPr="006A0E0D" w:rsidRDefault="008029BB" w:rsidP="006A0E0D">
            <w:pPr>
              <w:spacing w:line="240" w:lineRule="auto"/>
              <w:rPr>
                <w:rFonts w:ascii="Arial" w:hAnsi="Arial" w:cs="Arial"/>
                <w:b/>
                <w:bCs/>
                <w:i/>
                <w:color w:val="44546A" w:themeColor="text2"/>
              </w:rPr>
            </w:pPr>
            <w:r w:rsidRPr="006A0E0D">
              <w:rPr>
                <w:rFonts w:ascii="Arial" w:hAnsi="Arial" w:cs="Arial"/>
                <w:b/>
                <w:bCs/>
                <w:i/>
                <w:color w:val="44546A" w:themeColor="text2"/>
              </w:rPr>
              <w:t xml:space="preserve">Fig </w:t>
            </w:r>
            <w:r w:rsidR="0094607E">
              <w:rPr>
                <w:rFonts w:ascii="Arial" w:hAnsi="Arial" w:cs="Arial"/>
                <w:b/>
                <w:bCs/>
                <w:i/>
                <w:color w:val="44546A" w:themeColor="text2"/>
              </w:rPr>
              <w:t>9</w:t>
            </w:r>
            <w:r w:rsidR="00781176" w:rsidRPr="006A0E0D">
              <w:rPr>
                <w:rFonts w:ascii="Arial" w:hAnsi="Arial" w:cs="Arial"/>
                <w:b/>
                <w:bCs/>
                <w:i/>
                <w:color w:val="44546A" w:themeColor="text2"/>
              </w:rPr>
              <w:t> : C</w:t>
            </w:r>
            <w:r w:rsidR="00A230DA" w:rsidRPr="006A0E0D">
              <w:rPr>
                <w:rFonts w:ascii="Arial" w:hAnsi="Arial" w:cs="Arial"/>
                <w:b/>
                <w:bCs/>
                <w:i/>
                <w:color w:val="44546A" w:themeColor="text2"/>
              </w:rPr>
              <w:t>omment mesurer la hauteur des arbres</w:t>
            </w:r>
          </w:p>
          <w:p w14:paraId="27523AAD" w14:textId="77777777" w:rsidR="008029BB" w:rsidRPr="006A0E0D" w:rsidRDefault="008029BB" w:rsidP="006A0E0D">
            <w:pPr>
              <w:spacing w:line="240" w:lineRule="auto"/>
              <w:jc w:val="both"/>
              <w:rPr>
                <w:rFonts w:ascii="Arial" w:hAnsi="Arial" w:cs="Arial"/>
                <w:b/>
                <w:bCs/>
                <w:i/>
                <w:color w:val="44546A" w:themeColor="text2"/>
              </w:rPr>
            </w:pPr>
          </w:p>
        </w:tc>
      </w:tr>
      <w:tr w:rsidR="00F45D6A" w:rsidRPr="006A0E0D" w14:paraId="6C432461" w14:textId="77777777" w:rsidTr="005A115A">
        <w:tc>
          <w:tcPr>
            <w:tcW w:w="7061" w:type="dxa"/>
            <w:shd w:val="clear" w:color="auto" w:fill="FFFFFF" w:themeFill="background1"/>
          </w:tcPr>
          <w:p w14:paraId="12FA3583" w14:textId="77777777" w:rsidR="00F45D6A" w:rsidRPr="006A0E0D" w:rsidRDefault="00F45D6A" w:rsidP="006A0E0D">
            <w:pPr>
              <w:spacing w:after="160" w:line="240" w:lineRule="auto"/>
              <w:jc w:val="both"/>
              <w:rPr>
                <w:rFonts w:ascii="Arial" w:hAnsi="Arial" w:cs="Arial"/>
              </w:rPr>
            </w:pPr>
            <w:r w:rsidRPr="006A0E0D">
              <w:rPr>
                <w:rFonts w:ascii="Arial" w:hAnsi="Arial" w:cs="Arial"/>
              </w:rPr>
              <w:t xml:space="preserve">Les peuplements </w:t>
            </w:r>
            <w:r w:rsidR="006A0E0D">
              <w:rPr>
                <w:rFonts w:ascii="Arial" w:hAnsi="Arial" w:cs="Arial"/>
              </w:rPr>
              <w:t>seront</w:t>
            </w:r>
            <w:r w:rsidRPr="006A0E0D">
              <w:rPr>
                <w:rFonts w:ascii="Arial" w:hAnsi="Arial" w:cs="Arial"/>
              </w:rPr>
              <w:t xml:space="preserve"> mesurés de nouveau tous les cinq ans ou au besoin. S’ils sont la proie de graves intempéries, d’incendies ou d’un autre événement catastrophique, les quadrats devraient être mesurés de nouveau et les informations complémentaires consigné</w:t>
            </w:r>
            <w:r w:rsidR="006A0E0D">
              <w:rPr>
                <w:rFonts w:ascii="Arial" w:hAnsi="Arial" w:cs="Arial"/>
              </w:rPr>
              <w:t>e</w:t>
            </w:r>
            <w:r w:rsidRPr="006A0E0D">
              <w:rPr>
                <w:rFonts w:ascii="Arial" w:hAnsi="Arial" w:cs="Arial"/>
              </w:rPr>
              <w:t>s le plus tôt possible après la catastrophe, lorsque l</w:t>
            </w:r>
            <w:r w:rsidR="006A0E0D">
              <w:rPr>
                <w:rFonts w:ascii="Arial" w:hAnsi="Arial" w:cs="Arial"/>
              </w:rPr>
              <w:t>a situation est de nouveau sûre</w:t>
            </w:r>
            <w:r w:rsidRPr="006A0E0D">
              <w:rPr>
                <w:rFonts w:ascii="Arial" w:hAnsi="Arial" w:cs="Arial"/>
              </w:rPr>
              <w:t>.</w:t>
            </w:r>
          </w:p>
        </w:tc>
        <w:tc>
          <w:tcPr>
            <w:tcW w:w="1869" w:type="dxa"/>
            <w:shd w:val="clear" w:color="auto" w:fill="FFFFFF" w:themeFill="background1"/>
          </w:tcPr>
          <w:p w14:paraId="23E3911F" w14:textId="77777777" w:rsidR="00F45D6A" w:rsidRPr="006A0E0D" w:rsidRDefault="00F45D6A" w:rsidP="006A0E0D">
            <w:pPr>
              <w:spacing w:line="240" w:lineRule="auto"/>
              <w:jc w:val="both"/>
              <w:rPr>
                <w:rFonts w:ascii="Arial" w:hAnsi="Arial" w:cs="Arial"/>
                <w:b/>
                <w:bCs/>
                <w:i/>
                <w:color w:val="44546A" w:themeColor="text2"/>
              </w:rPr>
            </w:pPr>
          </w:p>
        </w:tc>
      </w:tr>
      <w:tr w:rsidR="00F45D6A" w:rsidRPr="006A0E0D" w14:paraId="48BF21C5" w14:textId="77777777" w:rsidTr="005A115A">
        <w:tc>
          <w:tcPr>
            <w:tcW w:w="7061" w:type="dxa"/>
            <w:shd w:val="clear" w:color="auto" w:fill="FFFFFF" w:themeFill="background1"/>
          </w:tcPr>
          <w:p w14:paraId="66D7A070" w14:textId="77777777" w:rsidR="00AE4A83" w:rsidRPr="006A0E0D" w:rsidRDefault="00AE4A83" w:rsidP="0094607E">
            <w:pPr>
              <w:spacing w:after="0" w:line="240" w:lineRule="auto"/>
              <w:jc w:val="both"/>
              <w:rPr>
                <w:rFonts w:ascii="Arial" w:hAnsi="Arial" w:cs="Arial"/>
              </w:rPr>
            </w:pPr>
            <w:r w:rsidRPr="006A0E0D">
              <w:rPr>
                <w:rFonts w:ascii="Arial" w:hAnsi="Arial" w:cs="Arial"/>
              </w:rPr>
              <w:t>Pour l’analyse des données, il faut :</w:t>
            </w:r>
          </w:p>
          <w:p w14:paraId="7932C49F" w14:textId="77777777" w:rsidR="00AE4A83" w:rsidRPr="006A0E0D" w:rsidRDefault="00F45D6A" w:rsidP="0094607E">
            <w:pPr>
              <w:pStyle w:val="Paragraphedeliste"/>
              <w:numPr>
                <w:ilvl w:val="0"/>
                <w:numId w:val="7"/>
              </w:numPr>
              <w:spacing w:after="0" w:line="240" w:lineRule="auto"/>
              <w:jc w:val="both"/>
              <w:rPr>
                <w:rFonts w:ascii="Arial" w:hAnsi="Arial" w:cs="Arial"/>
              </w:rPr>
            </w:pPr>
            <w:r w:rsidRPr="006A0E0D">
              <w:rPr>
                <w:rFonts w:ascii="Arial" w:hAnsi="Arial" w:cs="Arial"/>
              </w:rPr>
              <w:t>Prépare</w:t>
            </w:r>
            <w:r w:rsidR="00AE4A83" w:rsidRPr="006A0E0D">
              <w:rPr>
                <w:rFonts w:ascii="Arial" w:hAnsi="Arial" w:cs="Arial"/>
              </w:rPr>
              <w:t>r</w:t>
            </w:r>
            <w:r w:rsidRPr="006A0E0D">
              <w:rPr>
                <w:rFonts w:ascii="Arial" w:hAnsi="Arial" w:cs="Arial"/>
              </w:rPr>
              <w:t xml:space="preserve"> une liste d’espèces de peuplement pour tous les arbres vivants </w:t>
            </w:r>
            <w:r w:rsidR="00CA3047">
              <w:rPr>
                <w:rFonts w:ascii="Arial" w:hAnsi="Arial" w:cs="Arial"/>
              </w:rPr>
              <w:t>sélectionnés</w:t>
            </w:r>
          </w:p>
          <w:p w14:paraId="2BAE0318" w14:textId="77777777" w:rsidR="00F45D6A" w:rsidRPr="006A0E0D" w:rsidRDefault="00F45D6A" w:rsidP="0094607E">
            <w:pPr>
              <w:pStyle w:val="Paragraphedeliste"/>
              <w:numPr>
                <w:ilvl w:val="0"/>
                <w:numId w:val="7"/>
              </w:numPr>
              <w:spacing w:after="0" w:line="240" w:lineRule="auto"/>
              <w:jc w:val="both"/>
              <w:rPr>
                <w:rFonts w:ascii="Arial" w:hAnsi="Arial" w:cs="Arial"/>
              </w:rPr>
            </w:pPr>
            <w:r w:rsidRPr="006A0E0D">
              <w:rPr>
                <w:rFonts w:ascii="Arial" w:hAnsi="Arial" w:cs="Arial"/>
              </w:rPr>
              <w:t>Note</w:t>
            </w:r>
            <w:r w:rsidR="00AE4A83" w:rsidRPr="006A0E0D">
              <w:rPr>
                <w:rFonts w:ascii="Arial" w:hAnsi="Arial" w:cs="Arial"/>
              </w:rPr>
              <w:t>r</w:t>
            </w:r>
            <w:r w:rsidRPr="006A0E0D">
              <w:rPr>
                <w:rFonts w:ascii="Arial" w:hAnsi="Arial" w:cs="Arial"/>
              </w:rPr>
              <w:t xml:space="preserve"> toutes les espèces qui se trouvent dans les parcelles o</w:t>
            </w:r>
            <w:r w:rsidR="00CA3047">
              <w:rPr>
                <w:rFonts w:ascii="Arial" w:hAnsi="Arial" w:cs="Arial"/>
              </w:rPr>
              <w:t>u quadrats autonomes permanents</w:t>
            </w:r>
            <w:r w:rsidRPr="006A0E0D">
              <w:rPr>
                <w:rFonts w:ascii="Arial" w:hAnsi="Arial" w:cs="Arial"/>
              </w:rPr>
              <w:t xml:space="preserve">. </w:t>
            </w:r>
          </w:p>
          <w:p w14:paraId="4DB988F5" w14:textId="77777777" w:rsidR="008029BB" w:rsidRPr="006A0E0D" w:rsidRDefault="008029BB" w:rsidP="0094607E">
            <w:pPr>
              <w:pStyle w:val="Paragraphedeliste"/>
              <w:numPr>
                <w:ilvl w:val="0"/>
                <w:numId w:val="7"/>
              </w:numPr>
              <w:spacing w:after="0" w:line="240" w:lineRule="auto"/>
              <w:jc w:val="both"/>
              <w:rPr>
                <w:rFonts w:ascii="Arial" w:hAnsi="Arial" w:cs="Arial"/>
              </w:rPr>
            </w:pPr>
            <w:r w:rsidRPr="006A0E0D">
              <w:rPr>
                <w:rFonts w:ascii="Arial" w:hAnsi="Arial" w:cs="Arial"/>
              </w:rPr>
              <w:t>Calculer séparément pour chaque espèce (arbres vivants uniquement) : l’abondance, la surface terrière, la densité et la dominance, la fréquence, la densité relative, la dominance relative, la fréquence relative et la valeur d’importance</w:t>
            </w:r>
          </w:p>
          <w:p w14:paraId="61C805A7" w14:textId="77777777" w:rsidR="008029BB" w:rsidRPr="006A0E0D" w:rsidRDefault="008029BB" w:rsidP="0094607E">
            <w:pPr>
              <w:pStyle w:val="Paragraphedeliste"/>
              <w:numPr>
                <w:ilvl w:val="0"/>
                <w:numId w:val="7"/>
              </w:numPr>
              <w:spacing w:after="0" w:line="240" w:lineRule="auto"/>
              <w:jc w:val="both"/>
              <w:rPr>
                <w:rFonts w:ascii="Arial" w:hAnsi="Arial" w:cs="Arial"/>
              </w:rPr>
            </w:pPr>
            <w:r w:rsidRPr="006A0E0D">
              <w:rPr>
                <w:rFonts w:ascii="Arial" w:hAnsi="Arial" w:cs="Arial"/>
              </w:rPr>
              <w:t>Calculer aussi la surface terrière totale de tous les arbres morts debout et inclinés.</w:t>
            </w:r>
          </w:p>
        </w:tc>
        <w:tc>
          <w:tcPr>
            <w:tcW w:w="1869" w:type="dxa"/>
            <w:shd w:val="clear" w:color="auto" w:fill="FFFFFF" w:themeFill="background1"/>
          </w:tcPr>
          <w:p w14:paraId="518DD206" w14:textId="77777777" w:rsidR="00F45D6A" w:rsidRPr="006A0E0D" w:rsidRDefault="00781176" w:rsidP="006A0E0D">
            <w:pPr>
              <w:spacing w:line="240" w:lineRule="auto"/>
              <w:jc w:val="both"/>
              <w:rPr>
                <w:rFonts w:ascii="Arial" w:hAnsi="Arial" w:cs="Arial"/>
                <w:b/>
                <w:bCs/>
                <w:i/>
                <w:color w:val="44546A" w:themeColor="text2"/>
              </w:rPr>
            </w:pPr>
            <w:r w:rsidRPr="006A0E0D">
              <w:rPr>
                <w:rFonts w:ascii="Arial" w:hAnsi="Arial" w:cs="Arial"/>
                <w:b/>
                <w:bCs/>
                <w:i/>
                <w:color w:val="44546A" w:themeColor="text2"/>
              </w:rPr>
              <w:t>Formules de calculs</w:t>
            </w:r>
          </w:p>
        </w:tc>
      </w:tr>
      <w:tr w:rsidR="005A115A" w:rsidRPr="006A0E0D" w14:paraId="155AA5FA" w14:textId="77777777" w:rsidTr="005A115A">
        <w:tc>
          <w:tcPr>
            <w:tcW w:w="7061" w:type="dxa"/>
            <w:shd w:val="clear" w:color="auto" w:fill="FFFFFF" w:themeFill="background1"/>
          </w:tcPr>
          <w:p w14:paraId="677F6A7D" w14:textId="49178A27" w:rsidR="005A115A" w:rsidRPr="006A0E0D" w:rsidRDefault="0094607E" w:rsidP="001633B8">
            <w:pPr>
              <w:spacing w:after="160" w:line="240" w:lineRule="auto"/>
              <w:jc w:val="both"/>
              <w:rPr>
                <w:rFonts w:ascii="Arial" w:hAnsi="Arial" w:cs="Arial"/>
              </w:rPr>
            </w:pPr>
            <w:r>
              <w:rPr>
                <w:rFonts w:ascii="Arial" w:hAnsi="Arial" w:cs="Arial"/>
              </w:rPr>
              <w:t>L</w:t>
            </w:r>
            <w:r w:rsidR="005A115A">
              <w:rPr>
                <w:rFonts w:ascii="Arial" w:hAnsi="Arial" w:cs="Arial"/>
              </w:rPr>
              <w:t>e suivi</w:t>
            </w:r>
            <w:r>
              <w:rPr>
                <w:rFonts w:ascii="Arial" w:hAnsi="Arial" w:cs="Arial"/>
              </w:rPr>
              <w:t xml:space="preserve"> de la végétation</w:t>
            </w:r>
            <w:r w:rsidR="005A115A">
              <w:rPr>
                <w:rFonts w:ascii="Arial" w:hAnsi="Arial" w:cs="Arial"/>
              </w:rPr>
              <w:t xml:space="preserve">, s’il est bien mené sur des échantillons représentatifs du peuplement considéré, permettra ensuite de prendre les bonnes décisions de gestion, que ce soit en matière de conservation de la forêt ou de </w:t>
            </w:r>
            <w:r w:rsidR="00544943">
              <w:rPr>
                <w:rFonts w:ascii="Arial" w:hAnsi="Arial" w:cs="Arial"/>
              </w:rPr>
              <w:t>son</w:t>
            </w:r>
            <w:r w:rsidR="005A115A">
              <w:rPr>
                <w:rFonts w:ascii="Arial" w:hAnsi="Arial" w:cs="Arial"/>
              </w:rPr>
              <w:t xml:space="preserve"> exploitation durable</w:t>
            </w:r>
            <w:r w:rsidR="00544943">
              <w:rPr>
                <w:rFonts w:ascii="Arial" w:hAnsi="Arial" w:cs="Arial"/>
              </w:rPr>
              <w:t xml:space="preserve"> </w:t>
            </w:r>
            <w:r w:rsidR="001633B8">
              <w:rPr>
                <w:rFonts w:ascii="Arial" w:hAnsi="Arial" w:cs="Arial"/>
              </w:rPr>
              <w:t xml:space="preserve">lorsque cela est compatible avec </w:t>
            </w:r>
            <w:r w:rsidR="00544943">
              <w:rPr>
                <w:rFonts w:ascii="Arial" w:hAnsi="Arial" w:cs="Arial"/>
              </w:rPr>
              <w:t>les objectifs de conservation de l’AP</w:t>
            </w:r>
            <w:r w:rsidR="005A115A">
              <w:rPr>
                <w:rFonts w:ascii="Arial" w:hAnsi="Arial" w:cs="Arial"/>
              </w:rPr>
              <w:t>.</w:t>
            </w:r>
          </w:p>
        </w:tc>
        <w:tc>
          <w:tcPr>
            <w:tcW w:w="1869" w:type="dxa"/>
            <w:shd w:val="clear" w:color="auto" w:fill="FFFFFF" w:themeFill="background1"/>
          </w:tcPr>
          <w:p w14:paraId="1E253B24" w14:textId="77777777" w:rsidR="005A115A" w:rsidRPr="006A0E0D" w:rsidRDefault="005A115A" w:rsidP="006A0E0D">
            <w:pPr>
              <w:spacing w:line="240" w:lineRule="auto"/>
              <w:jc w:val="both"/>
              <w:rPr>
                <w:rFonts w:ascii="Arial" w:hAnsi="Arial" w:cs="Arial"/>
                <w:b/>
                <w:bCs/>
                <w:i/>
                <w:color w:val="44546A" w:themeColor="text2"/>
              </w:rPr>
            </w:pPr>
          </w:p>
        </w:tc>
      </w:tr>
    </w:tbl>
    <w:p w14:paraId="519E2FC0" w14:textId="77777777" w:rsidR="0074381D" w:rsidRDefault="0074381D"/>
    <w:p w14:paraId="70E64ACD" w14:textId="77777777" w:rsidR="0094607E" w:rsidRDefault="0094607E">
      <w:pPr>
        <w:spacing w:after="160" w:line="259" w:lineRule="auto"/>
        <w:rPr>
          <w:b/>
        </w:rPr>
      </w:pPr>
      <w:r>
        <w:rPr>
          <w:b/>
        </w:rPr>
        <w:br w:type="page"/>
      </w:r>
    </w:p>
    <w:p w14:paraId="3C9AC0FA" w14:textId="271BCF23" w:rsidR="00F85BF8" w:rsidRPr="001633B8" w:rsidRDefault="00F85BF8">
      <w:pPr>
        <w:rPr>
          <w:b/>
        </w:rPr>
      </w:pPr>
      <w:r w:rsidRPr="001633B8">
        <w:rPr>
          <w:b/>
        </w:rPr>
        <w:lastRenderedPageBreak/>
        <w:t>Reference bibliographique :</w:t>
      </w:r>
    </w:p>
    <w:p w14:paraId="14E4CD6F" w14:textId="77777777" w:rsidR="00C13363" w:rsidRPr="00224163" w:rsidRDefault="00C13363" w:rsidP="00C13363">
      <w:pPr>
        <w:pStyle w:val="Paragraphedeliste"/>
        <w:numPr>
          <w:ilvl w:val="0"/>
          <w:numId w:val="8"/>
        </w:numPr>
        <w:autoSpaceDE w:val="0"/>
        <w:autoSpaceDN w:val="0"/>
        <w:adjustRightInd w:val="0"/>
        <w:spacing w:after="0" w:line="240" w:lineRule="auto"/>
        <w:rPr>
          <w:rFonts w:ascii="Arial" w:hAnsi="Arial" w:cs="Arial"/>
          <w:bCs/>
        </w:rPr>
      </w:pPr>
      <w:r w:rsidRPr="00224163">
        <w:rPr>
          <w:rFonts w:ascii="Arial" w:hAnsi="Arial" w:cs="Arial"/>
          <w:bCs/>
        </w:rPr>
        <w:t>Adam Y., Béranger C., Delzons O., Frochot B., Gourvil J., Lecomte P., Parisot-Laprun M., 2015. Guide des méthodes de diagnostic écologique des milieux naturels - App</w:t>
      </w:r>
      <w:r>
        <w:rPr>
          <w:rFonts w:ascii="Arial" w:hAnsi="Arial" w:cs="Arial"/>
          <w:bCs/>
        </w:rPr>
        <w:t xml:space="preserve">lication aux sites de carrière. </w:t>
      </w:r>
      <w:r w:rsidRPr="00224163">
        <w:rPr>
          <w:rFonts w:ascii="Arial" w:hAnsi="Arial" w:cs="Arial"/>
          <w:bCs/>
        </w:rPr>
        <w:t>UNPG</w:t>
      </w:r>
      <w:r w:rsidRPr="001633B8">
        <w:rPr>
          <w:rFonts w:ascii="Arial" w:hAnsi="Arial" w:cs="Arial"/>
          <w:bCs/>
        </w:rPr>
        <w:t>.</w:t>
      </w:r>
      <w:r>
        <w:rPr>
          <w:rFonts w:ascii="Arial" w:hAnsi="Arial" w:cs="Arial"/>
          <w:bCs/>
        </w:rPr>
        <w:t xml:space="preserve"> Paris. 390p.</w:t>
      </w:r>
    </w:p>
    <w:p w14:paraId="17EA03B3" w14:textId="28A9E6DB" w:rsidR="00F85BF8" w:rsidRDefault="00F85BF8" w:rsidP="00F85BF8">
      <w:pPr>
        <w:pStyle w:val="Paragraphedeliste"/>
        <w:numPr>
          <w:ilvl w:val="0"/>
          <w:numId w:val="8"/>
        </w:numPr>
        <w:autoSpaceDE w:val="0"/>
        <w:autoSpaceDN w:val="0"/>
        <w:adjustRightInd w:val="0"/>
        <w:spacing w:after="0" w:line="240" w:lineRule="auto"/>
        <w:rPr>
          <w:rFonts w:ascii="Arial" w:hAnsi="Arial" w:cs="Arial"/>
          <w:bCs/>
        </w:rPr>
      </w:pPr>
      <w:r w:rsidRPr="00B3671D">
        <w:rPr>
          <w:rFonts w:ascii="Arial" w:hAnsi="Arial" w:cs="Arial"/>
          <w:bCs/>
        </w:rPr>
        <w:t>Fiers V., 2004. Guide pratique. Principales méthodes d’inventaire et de suivi de la biodiversité. Réserves Naturelles de France. 263p.</w:t>
      </w:r>
    </w:p>
    <w:p w14:paraId="190A16A2" w14:textId="35F1A937" w:rsidR="00C13363" w:rsidRDefault="00C13363" w:rsidP="00F85BF8">
      <w:pPr>
        <w:pStyle w:val="Paragraphedeliste"/>
        <w:numPr>
          <w:ilvl w:val="0"/>
          <w:numId w:val="8"/>
        </w:numPr>
        <w:autoSpaceDE w:val="0"/>
        <w:autoSpaceDN w:val="0"/>
        <w:adjustRightInd w:val="0"/>
        <w:spacing w:after="0" w:line="240" w:lineRule="auto"/>
        <w:rPr>
          <w:rFonts w:ascii="Arial" w:hAnsi="Arial" w:cs="Arial"/>
          <w:bCs/>
        </w:rPr>
      </w:pPr>
      <w:r>
        <w:rPr>
          <w:rFonts w:ascii="Arial" w:hAnsi="Arial" w:cs="Arial"/>
          <w:bCs/>
        </w:rPr>
        <w:t>Roberts-Pichette P. &amp; Gillespie L.</w:t>
      </w:r>
      <w:r w:rsidR="00B419E4">
        <w:rPr>
          <w:rFonts w:ascii="Arial" w:hAnsi="Arial" w:cs="Arial"/>
          <w:bCs/>
        </w:rPr>
        <w:t xml:space="preserve">, </w:t>
      </w:r>
      <w:r>
        <w:rPr>
          <w:rFonts w:ascii="Arial" w:hAnsi="Arial" w:cs="Arial"/>
          <w:bCs/>
        </w:rPr>
        <w:t>1999</w:t>
      </w:r>
      <w:bookmarkStart w:id="0" w:name="_GoBack"/>
      <w:bookmarkEnd w:id="0"/>
      <w:r>
        <w:rPr>
          <w:rFonts w:ascii="Arial" w:hAnsi="Arial" w:cs="Arial"/>
          <w:bCs/>
        </w:rPr>
        <w:t>. Protocoles de suivi de la biodiversité terrestre. Collection des publications hors-série du RESE. Rapport No9. Bureau de la Coordination du RESE, Burlington. 138p.</w:t>
      </w:r>
    </w:p>
    <w:p w14:paraId="2069D77C" w14:textId="77777777" w:rsidR="00F85BF8" w:rsidRPr="00224163" w:rsidRDefault="00F85BF8"/>
    <w:p w14:paraId="177C63D3" w14:textId="77777777" w:rsidR="00F85BF8" w:rsidRPr="000325B9" w:rsidRDefault="00F85BF8" w:rsidP="001633B8">
      <w:pPr>
        <w:spacing w:after="0" w:line="240" w:lineRule="auto"/>
        <w:jc w:val="both"/>
        <w:rPr>
          <w:highlight w:val="yellow"/>
        </w:rPr>
      </w:pPr>
      <w:r w:rsidRPr="000325B9">
        <w:rPr>
          <w:highlight w:val="yellow"/>
        </w:rPr>
        <w:t>Gradient de végétation</w:t>
      </w:r>
    </w:p>
    <w:p w14:paraId="1A0E5CD6" w14:textId="77777777" w:rsidR="00F85BF8" w:rsidRDefault="00F85BF8" w:rsidP="001633B8">
      <w:pPr>
        <w:spacing w:after="0" w:line="240" w:lineRule="auto"/>
        <w:jc w:val="both"/>
      </w:pPr>
      <w:r w:rsidRPr="000325B9">
        <w:rPr>
          <w:highlight w:val="yellow"/>
        </w:rPr>
        <w:t>L’organisation spatiale est fonction de variables environnementales. Sa connaissance</w:t>
      </w:r>
      <w:r w:rsidR="00AA2AD3" w:rsidRPr="000325B9">
        <w:rPr>
          <w:highlight w:val="yellow"/>
        </w:rPr>
        <w:t xml:space="preserve"> </w:t>
      </w:r>
      <w:r w:rsidRPr="000325B9">
        <w:rPr>
          <w:highlight w:val="yellow"/>
        </w:rPr>
        <w:t>permet l’analyse de la végétation selon un continuum. Selon BOURNÉRIAS</w:t>
      </w:r>
      <w:r w:rsidR="00AA2AD3" w:rsidRPr="000325B9">
        <w:rPr>
          <w:highlight w:val="yellow"/>
        </w:rPr>
        <w:t xml:space="preserve"> </w:t>
      </w:r>
      <w:r w:rsidRPr="000325B9">
        <w:rPr>
          <w:highlight w:val="yellow"/>
        </w:rPr>
        <w:t>(1979), l’observation sur le terrain d’une variation importante, dans le sens horizontal,</w:t>
      </w:r>
      <w:r w:rsidR="00AA2AD3" w:rsidRPr="000325B9">
        <w:rPr>
          <w:highlight w:val="yellow"/>
        </w:rPr>
        <w:t xml:space="preserve"> </w:t>
      </w:r>
      <w:r w:rsidRPr="000325B9">
        <w:rPr>
          <w:highlight w:val="yellow"/>
        </w:rPr>
        <w:t>de la structure de la végétation (changements de densité ou même disparition</w:t>
      </w:r>
      <w:r w:rsidR="00AA2AD3" w:rsidRPr="000325B9">
        <w:rPr>
          <w:highlight w:val="yellow"/>
        </w:rPr>
        <w:t xml:space="preserve"> </w:t>
      </w:r>
      <w:r w:rsidRPr="000325B9">
        <w:rPr>
          <w:highlight w:val="yellow"/>
        </w:rPr>
        <w:t>d’une strate) est le signe d’un changement écologique (variation progressive</w:t>
      </w:r>
      <w:r w:rsidR="00AA2AD3" w:rsidRPr="000325B9">
        <w:rPr>
          <w:highlight w:val="yellow"/>
        </w:rPr>
        <w:t xml:space="preserve"> </w:t>
      </w:r>
      <w:r w:rsidRPr="000325B9">
        <w:rPr>
          <w:highlight w:val="yellow"/>
        </w:rPr>
        <w:t>du substrat, effet lisière). Pour analyser l’hétérogénéité au sein d’une</w:t>
      </w:r>
      <w:r w:rsidR="00AA2AD3" w:rsidRPr="000325B9">
        <w:rPr>
          <w:highlight w:val="yellow"/>
        </w:rPr>
        <w:t xml:space="preserve"> </w:t>
      </w:r>
      <w:r w:rsidRPr="000325B9">
        <w:rPr>
          <w:highlight w:val="yellow"/>
        </w:rPr>
        <w:t>station ou dans l’intervalle entre deux stations, on s’intéresse aux passages entre</w:t>
      </w:r>
      <w:r w:rsidR="00AA2AD3" w:rsidRPr="000325B9">
        <w:rPr>
          <w:highlight w:val="yellow"/>
        </w:rPr>
        <w:t xml:space="preserve"> </w:t>
      </w:r>
      <w:r w:rsidRPr="000325B9">
        <w:rPr>
          <w:highlight w:val="yellow"/>
        </w:rPr>
        <w:t>type - c’est à dire à la variation spatiale et temporelle qui existe entre deux communautés.</w:t>
      </w:r>
      <w:r w:rsidR="00AA2AD3" w:rsidRPr="000325B9">
        <w:rPr>
          <w:highlight w:val="yellow"/>
        </w:rPr>
        <w:t xml:space="preserve"> </w:t>
      </w:r>
      <w:r w:rsidRPr="000325B9">
        <w:rPr>
          <w:highlight w:val="yellow"/>
        </w:rPr>
        <w:t>Deux cas peuvent se présenter lors de l’analyse des gradients : soit la</w:t>
      </w:r>
      <w:r w:rsidR="00AA2AD3" w:rsidRPr="000325B9">
        <w:rPr>
          <w:highlight w:val="yellow"/>
        </w:rPr>
        <w:t xml:space="preserve"> </w:t>
      </w:r>
      <w:r w:rsidRPr="000325B9">
        <w:rPr>
          <w:highlight w:val="yellow"/>
        </w:rPr>
        <w:t>transition est brutale, soit elle est relativement sensible.</w:t>
      </w:r>
    </w:p>
    <w:p w14:paraId="340C46A6" w14:textId="77777777" w:rsidR="00AA2AD3" w:rsidRDefault="00AA2AD3" w:rsidP="001633B8">
      <w:pPr>
        <w:spacing w:after="0" w:line="240" w:lineRule="auto"/>
        <w:jc w:val="both"/>
      </w:pPr>
    </w:p>
    <w:p w14:paraId="55FF1E07" w14:textId="77777777" w:rsidR="00F85BF8" w:rsidRDefault="00F85BF8"/>
    <w:p w14:paraId="372FD693" w14:textId="77777777" w:rsidR="0074381D" w:rsidRDefault="0074381D">
      <w:r w:rsidRPr="0074381D">
        <w:rPr>
          <w:noProof/>
          <w:lang w:val="fr-CH" w:eastAsia="fr-CH"/>
        </w:rPr>
        <w:drawing>
          <wp:inline distT="0" distB="0" distL="0" distR="0" wp14:anchorId="43711EFC" wp14:editId="65BE760D">
            <wp:extent cx="5760720" cy="314937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49374"/>
                    </a:xfrm>
                    <a:prstGeom prst="rect">
                      <a:avLst/>
                    </a:prstGeom>
                    <a:noFill/>
                    <a:ln>
                      <a:noFill/>
                    </a:ln>
                  </pic:spPr>
                </pic:pic>
              </a:graphicData>
            </a:graphic>
          </wp:inline>
        </w:drawing>
      </w:r>
    </w:p>
    <w:p w14:paraId="41478BAF" w14:textId="77777777" w:rsidR="008F3E9D" w:rsidRDefault="008F3E9D"/>
    <w:p w14:paraId="70C6A0F2" w14:textId="74E0D30F" w:rsidR="00A230DA" w:rsidRPr="00781176" w:rsidRDefault="00A230DA">
      <w:pPr>
        <w:spacing w:after="160" w:line="259" w:lineRule="auto"/>
        <w:rPr>
          <w:b/>
          <w:i/>
        </w:rPr>
      </w:pPr>
      <w:r w:rsidRPr="00781176">
        <w:rPr>
          <w:b/>
          <w:i/>
        </w:rPr>
        <w:t xml:space="preserve">Figure </w:t>
      </w:r>
      <w:r w:rsidR="00C13363">
        <w:rPr>
          <w:b/>
          <w:i/>
        </w:rPr>
        <w:t>2</w:t>
      </w:r>
      <w:r w:rsidRPr="00781176">
        <w:rPr>
          <w:b/>
          <w:i/>
        </w:rPr>
        <w:t> : Arbre de décision pour le choix des méthodes et protocoles de suivi de la biodiversité végétale</w:t>
      </w:r>
    </w:p>
    <w:p w14:paraId="0F196518" w14:textId="77777777" w:rsidR="008F3E9D" w:rsidRDefault="00A230DA">
      <w:pPr>
        <w:spacing w:after="160" w:line="259" w:lineRule="auto"/>
      </w:pPr>
      <w:r>
        <w:br w:type="page"/>
      </w:r>
      <w:r>
        <w:lastRenderedPageBreak/>
        <w:t xml:space="preserve"> </w:t>
      </w:r>
    </w:p>
    <w:p w14:paraId="5C4802E3" w14:textId="77777777" w:rsidR="008F3E9D" w:rsidRDefault="002424E5">
      <w:r w:rsidRPr="002424E5">
        <w:rPr>
          <w:noProof/>
          <w:lang w:val="fr-CH" w:eastAsia="fr-CH"/>
        </w:rPr>
        <w:drawing>
          <wp:inline distT="0" distB="0" distL="0" distR="0" wp14:anchorId="56C3ACA9" wp14:editId="2BC3A45D">
            <wp:extent cx="5467350" cy="3086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7350" cy="3086100"/>
                    </a:xfrm>
                    <a:prstGeom prst="rect">
                      <a:avLst/>
                    </a:prstGeom>
                    <a:noFill/>
                    <a:ln>
                      <a:noFill/>
                    </a:ln>
                  </pic:spPr>
                </pic:pic>
              </a:graphicData>
            </a:graphic>
          </wp:inline>
        </w:drawing>
      </w:r>
    </w:p>
    <w:p w14:paraId="51A3AF02" w14:textId="6053869E" w:rsidR="00A230DA" w:rsidRPr="00781176" w:rsidRDefault="00A230DA">
      <w:pPr>
        <w:spacing w:after="160" w:line="259" w:lineRule="auto"/>
        <w:rPr>
          <w:b/>
          <w:i/>
        </w:rPr>
      </w:pPr>
      <w:r w:rsidRPr="00781176">
        <w:rPr>
          <w:b/>
          <w:i/>
        </w:rPr>
        <w:t xml:space="preserve">Figure </w:t>
      </w:r>
      <w:r w:rsidR="00C13363">
        <w:rPr>
          <w:b/>
          <w:i/>
        </w:rPr>
        <w:t>6</w:t>
      </w:r>
      <w:r w:rsidRPr="00781176">
        <w:rPr>
          <w:b/>
          <w:i/>
        </w:rPr>
        <w:t> : courbe d’accumulation des espèces pour déterminer le nombre de parcelles à utiliser</w:t>
      </w:r>
    </w:p>
    <w:p w14:paraId="0F7DB2D3" w14:textId="77777777" w:rsidR="00A230DA" w:rsidRDefault="00A230DA">
      <w:pPr>
        <w:spacing w:after="160" w:line="259" w:lineRule="auto"/>
        <w:rPr>
          <w:rFonts w:ascii="Arial" w:hAnsi="Arial" w:cs="Arial"/>
          <w:b/>
          <w:bCs/>
          <w:i/>
        </w:rPr>
      </w:pPr>
      <w:r>
        <w:rPr>
          <w:rFonts w:ascii="Arial" w:hAnsi="Arial" w:cs="Arial"/>
          <w:b/>
          <w:bCs/>
          <w:i/>
        </w:rPr>
        <w:br w:type="page"/>
      </w:r>
    </w:p>
    <w:p w14:paraId="64420CFC" w14:textId="77777777" w:rsidR="002424E5" w:rsidRDefault="002424E5">
      <w:pPr>
        <w:spacing w:after="160" w:line="259" w:lineRule="auto"/>
      </w:pPr>
    </w:p>
    <w:p w14:paraId="54F91290" w14:textId="77777777" w:rsidR="006822D8" w:rsidRDefault="002424E5">
      <w:r w:rsidRPr="002424E5">
        <w:rPr>
          <w:noProof/>
          <w:lang w:val="fr-CH" w:eastAsia="fr-CH"/>
        </w:rPr>
        <w:drawing>
          <wp:inline distT="0" distB="0" distL="0" distR="0" wp14:anchorId="0B855CE1" wp14:editId="1648D618">
            <wp:extent cx="5760720" cy="452695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526953"/>
                    </a:xfrm>
                    <a:prstGeom prst="rect">
                      <a:avLst/>
                    </a:prstGeom>
                    <a:noFill/>
                    <a:ln>
                      <a:noFill/>
                    </a:ln>
                  </pic:spPr>
                </pic:pic>
              </a:graphicData>
            </a:graphic>
          </wp:inline>
        </w:drawing>
      </w:r>
    </w:p>
    <w:p w14:paraId="7249F12E" w14:textId="7219011D" w:rsidR="00A230DA" w:rsidRPr="00781176" w:rsidRDefault="00C13363" w:rsidP="00781176">
      <w:pPr>
        <w:spacing w:after="160" w:line="259" w:lineRule="auto"/>
        <w:rPr>
          <w:b/>
          <w:i/>
        </w:rPr>
      </w:pPr>
      <w:r>
        <w:rPr>
          <w:b/>
          <w:i/>
        </w:rPr>
        <w:t>Figure 7</w:t>
      </w:r>
      <w:r w:rsidR="00A230DA" w:rsidRPr="00781176">
        <w:rPr>
          <w:b/>
          <w:i/>
        </w:rPr>
        <w:t> : Comment mesurer le dhp dans différents cas</w:t>
      </w:r>
    </w:p>
    <w:p w14:paraId="19B66DDF" w14:textId="77777777" w:rsidR="00A230DA" w:rsidRDefault="00A230DA"/>
    <w:p w14:paraId="06A1B6BE" w14:textId="77777777" w:rsidR="006822D8" w:rsidRDefault="006822D8">
      <w:pPr>
        <w:spacing w:after="160" w:line="259" w:lineRule="auto"/>
      </w:pPr>
      <w:r>
        <w:br w:type="page"/>
      </w:r>
    </w:p>
    <w:p w14:paraId="04EC4961" w14:textId="77777777" w:rsidR="006822D8" w:rsidRDefault="006822D8">
      <w:r w:rsidRPr="006822D8">
        <w:rPr>
          <w:noProof/>
          <w:lang w:val="fr-CH" w:eastAsia="fr-CH"/>
        </w:rPr>
        <w:lastRenderedPageBreak/>
        <w:drawing>
          <wp:inline distT="0" distB="0" distL="0" distR="0" wp14:anchorId="034A0C99" wp14:editId="4AD1EDB2">
            <wp:extent cx="5760720" cy="3557982"/>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557982"/>
                    </a:xfrm>
                    <a:prstGeom prst="rect">
                      <a:avLst/>
                    </a:prstGeom>
                    <a:noFill/>
                    <a:ln>
                      <a:noFill/>
                    </a:ln>
                  </pic:spPr>
                </pic:pic>
              </a:graphicData>
            </a:graphic>
          </wp:inline>
        </w:drawing>
      </w:r>
    </w:p>
    <w:p w14:paraId="77C7C41C" w14:textId="4A3EAF83" w:rsidR="00781176" w:rsidRPr="00781176" w:rsidRDefault="00781176">
      <w:pPr>
        <w:rPr>
          <w:sz w:val="20"/>
        </w:rPr>
      </w:pPr>
      <w:r w:rsidRPr="00781176">
        <w:rPr>
          <w:rFonts w:ascii="Arial" w:hAnsi="Arial" w:cs="Arial"/>
          <w:b/>
          <w:bCs/>
          <w:i/>
          <w:color w:val="44546A" w:themeColor="text2"/>
          <w:sz w:val="20"/>
        </w:rPr>
        <w:t xml:space="preserve">Figure </w:t>
      </w:r>
      <w:r w:rsidR="00C13363">
        <w:rPr>
          <w:rFonts w:ascii="Arial" w:hAnsi="Arial" w:cs="Arial"/>
          <w:b/>
          <w:bCs/>
          <w:i/>
          <w:color w:val="44546A" w:themeColor="text2"/>
          <w:sz w:val="20"/>
        </w:rPr>
        <w:t>8</w:t>
      </w:r>
      <w:r w:rsidRPr="00781176">
        <w:rPr>
          <w:rFonts w:ascii="Arial" w:hAnsi="Arial" w:cs="Arial"/>
          <w:b/>
          <w:bCs/>
          <w:i/>
          <w:color w:val="44546A" w:themeColor="text2"/>
          <w:sz w:val="20"/>
        </w:rPr>
        <w:t> : Comment décrire l’état des arbres</w:t>
      </w:r>
    </w:p>
    <w:p w14:paraId="45BB5704" w14:textId="77777777" w:rsidR="006822D8" w:rsidRDefault="006822D8">
      <w:pPr>
        <w:spacing w:after="160" w:line="259" w:lineRule="auto"/>
      </w:pPr>
      <w:r>
        <w:br w:type="page"/>
      </w:r>
    </w:p>
    <w:p w14:paraId="3F05FD35" w14:textId="77777777" w:rsidR="006822D8" w:rsidRDefault="006822D8">
      <w:r w:rsidRPr="006822D8">
        <w:rPr>
          <w:noProof/>
          <w:lang w:val="fr-CH" w:eastAsia="fr-CH"/>
        </w:rPr>
        <w:lastRenderedPageBreak/>
        <w:drawing>
          <wp:inline distT="0" distB="0" distL="0" distR="0" wp14:anchorId="7298B4A2" wp14:editId="67569C11">
            <wp:extent cx="5760720" cy="455746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557464"/>
                    </a:xfrm>
                    <a:prstGeom prst="rect">
                      <a:avLst/>
                    </a:prstGeom>
                    <a:noFill/>
                    <a:ln>
                      <a:noFill/>
                    </a:ln>
                  </pic:spPr>
                </pic:pic>
              </a:graphicData>
            </a:graphic>
          </wp:inline>
        </w:drawing>
      </w:r>
    </w:p>
    <w:p w14:paraId="63CFC267" w14:textId="6D1A722C" w:rsidR="00781176" w:rsidRPr="00A230DA" w:rsidRDefault="00781176" w:rsidP="00781176">
      <w:pPr>
        <w:rPr>
          <w:rFonts w:ascii="Arial" w:hAnsi="Arial" w:cs="Arial"/>
          <w:b/>
          <w:bCs/>
          <w:i/>
          <w:color w:val="44546A" w:themeColor="text2"/>
          <w:sz w:val="20"/>
        </w:rPr>
      </w:pPr>
      <w:r w:rsidRPr="00A230DA">
        <w:rPr>
          <w:rFonts w:ascii="Arial" w:hAnsi="Arial" w:cs="Arial"/>
          <w:b/>
          <w:bCs/>
          <w:i/>
          <w:color w:val="44546A" w:themeColor="text2"/>
          <w:sz w:val="20"/>
        </w:rPr>
        <w:t>Fig</w:t>
      </w:r>
      <w:r>
        <w:rPr>
          <w:rFonts w:ascii="Arial" w:hAnsi="Arial" w:cs="Arial"/>
          <w:b/>
          <w:bCs/>
          <w:i/>
          <w:color w:val="44546A" w:themeColor="text2"/>
          <w:sz w:val="20"/>
        </w:rPr>
        <w:t>ure</w:t>
      </w:r>
      <w:r w:rsidRPr="00A230DA">
        <w:rPr>
          <w:rFonts w:ascii="Arial" w:hAnsi="Arial" w:cs="Arial"/>
          <w:b/>
          <w:bCs/>
          <w:i/>
          <w:color w:val="44546A" w:themeColor="text2"/>
          <w:sz w:val="20"/>
        </w:rPr>
        <w:t xml:space="preserve"> </w:t>
      </w:r>
      <w:r w:rsidR="00C13363">
        <w:rPr>
          <w:rFonts w:ascii="Arial" w:hAnsi="Arial" w:cs="Arial"/>
          <w:b/>
          <w:bCs/>
          <w:i/>
          <w:color w:val="44546A" w:themeColor="text2"/>
          <w:sz w:val="20"/>
        </w:rPr>
        <w:t>9</w:t>
      </w:r>
      <w:r>
        <w:rPr>
          <w:rFonts w:ascii="Arial" w:hAnsi="Arial" w:cs="Arial"/>
          <w:b/>
          <w:bCs/>
          <w:i/>
          <w:color w:val="44546A" w:themeColor="text2"/>
          <w:sz w:val="20"/>
        </w:rPr>
        <w:t> : C</w:t>
      </w:r>
      <w:r w:rsidRPr="00A230DA">
        <w:rPr>
          <w:rFonts w:ascii="Arial" w:hAnsi="Arial" w:cs="Arial"/>
          <w:b/>
          <w:bCs/>
          <w:i/>
          <w:color w:val="44546A" w:themeColor="text2"/>
          <w:sz w:val="20"/>
        </w:rPr>
        <w:t>omment mesurer la hauteur des arbres</w:t>
      </w:r>
    </w:p>
    <w:p w14:paraId="3461D5B1" w14:textId="77777777" w:rsidR="00781176" w:rsidRDefault="00781176"/>
    <w:p w14:paraId="284FACD6" w14:textId="77777777" w:rsidR="006822D8" w:rsidRDefault="006822D8">
      <w:pPr>
        <w:spacing w:after="160" w:line="259" w:lineRule="auto"/>
      </w:pPr>
      <w:r>
        <w:br w:type="page"/>
      </w:r>
    </w:p>
    <w:p w14:paraId="13A656CD" w14:textId="77777777" w:rsidR="002424E5" w:rsidRPr="00781176" w:rsidRDefault="00781176">
      <w:pPr>
        <w:rPr>
          <w:b/>
          <w:sz w:val="24"/>
        </w:rPr>
      </w:pPr>
      <w:r w:rsidRPr="00781176">
        <w:rPr>
          <w:b/>
          <w:sz w:val="24"/>
        </w:rPr>
        <w:lastRenderedPageBreak/>
        <w:t>Formules de calculs</w:t>
      </w:r>
    </w:p>
    <w:p w14:paraId="39168265" w14:textId="77777777" w:rsidR="00C13363" w:rsidRDefault="00C13363" w:rsidP="00C13363">
      <w:r w:rsidRPr="00C13363">
        <w:rPr>
          <w:b/>
        </w:rPr>
        <w:t>Abondance :</w:t>
      </w:r>
      <w:r>
        <w:t xml:space="preserve"> le nombre total des individus de chaque espèce dans l’échantillon total. Lors de la préparation des tableaux sommaires, énumérez les espèces par ordre décroissant d’abondance. Utilisez toujours les noms scientifiques dans les tableaux. </w:t>
      </w:r>
    </w:p>
    <w:p w14:paraId="2F9537BB" w14:textId="77777777" w:rsidR="00C13363" w:rsidRDefault="00C13363" w:rsidP="00C13363">
      <w:r w:rsidRPr="00C13363">
        <w:rPr>
          <w:b/>
        </w:rPr>
        <w:t>Surface terrière :</w:t>
      </w:r>
      <w:r>
        <w:t xml:space="preserve"> L'aire de la section du tronc des arbres. À partir des diamètres à hauteur de poitrine (dhp) et des tables de conversion, calculez l’aire terrière de chaque individu; donc calculez l'aire terrière totale de chaque espèce. </w:t>
      </w:r>
    </w:p>
    <w:p w14:paraId="32627C2B" w14:textId="77777777" w:rsidR="006822D8" w:rsidRDefault="006822D8">
      <w:r w:rsidRPr="006822D8">
        <w:rPr>
          <w:noProof/>
          <w:lang w:val="fr-CH" w:eastAsia="fr-CH"/>
        </w:rPr>
        <w:drawing>
          <wp:inline distT="0" distB="0" distL="0" distR="0" wp14:anchorId="00AE23B4" wp14:editId="339C569B">
            <wp:extent cx="4431030" cy="6858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1030" cy="685800"/>
                    </a:xfrm>
                    <a:prstGeom prst="rect">
                      <a:avLst/>
                    </a:prstGeom>
                    <a:noFill/>
                    <a:ln>
                      <a:noFill/>
                    </a:ln>
                  </pic:spPr>
                </pic:pic>
              </a:graphicData>
            </a:graphic>
          </wp:inline>
        </w:drawing>
      </w:r>
    </w:p>
    <w:p w14:paraId="138D24CC" w14:textId="77777777" w:rsidR="006822D8" w:rsidRDefault="006822D8">
      <w:r w:rsidRPr="006822D8">
        <w:rPr>
          <w:noProof/>
          <w:lang w:val="fr-CH" w:eastAsia="fr-CH"/>
        </w:rPr>
        <w:drawing>
          <wp:inline distT="0" distB="0" distL="0" distR="0" wp14:anchorId="0FB34437" wp14:editId="6B4CB108">
            <wp:extent cx="5086350" cy="7124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6350" cy="712470"/>
                    </a:xfrm>
                    <a:prstGeom prst="rect">
                      <a:avLst/>
                    </a:prstGeom>
                    <a:noFill/>
                    <a:ln>
                      <a:noFill/>
                    </a:ln>
                  </pic:spPr>
                </pic:pic>
              </a:graphicData>
            </a:graphic>
          </wp:inline>
        </w:drawing>
      </w:r>
    </w:p>
    <w:p w14:paraId="50F73039" w14:textId="77777777" w:rsidR="006822D8" w:rsidRDefault="006822D8">
      <w:r w:rsidRPr="006822D8">
        <w:rPr>
          <w:noProof/>
          <w:lang w:val="fr-CH" w:eastAsia="fr-CH"/>
        </w:rPr>
        <w:drawing>
          <wp:inline distT="0" distB="0" distL="0" distR="0" wp14:anchorId="78306731" wp14:editId="73F3BEF4">
            <wp:extent cx="5604510" cy="8191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4510" cy="819150"/>
                    </a:xfrm>
                    <a:prstGeom prst="rect">
                      <a:avLst/>
                    </a:prstGeom>
                    <a:noFill/>
                    <a:ln>
                      <a:noFill/>
                    </a:ln>
                  </pic:spPr>
                </pic:pic>
              </a:graphicData>
            </a:graphic>
          </wp:inline>
        </w:drawing>
      </w:r>
    </w:p>
    <w:p w14:paraId="7EC83617" w14:textId="77777777" w:rsidR="006822D8" w:rsidRDefault="006822D8">
      <w:r w:rsidRPr="006822D8">
        <w:rPr>
          <w:noProof/>
          <w:lang w:val="fr-CH" w:eastAsia="fr-CH"/>
        </w:rPr>
        <w:drawing>
          <wp:inline distT="0" distB="0" distL="0" distR="0" wp14:anchorId="68F19617" wp14:editId="1717EF83">
            <wp:extent cx="5528310" cy="83439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28310" cy="834390"/>
                    </a:xfrm>
                    <a:prstGeom prst="rect">
                      <a:avLst/>
                    </a:prstGeom>
                    <a:noFill/>
                    <a:ln>
                      <a:noFill/>
                    </a:ln>
                  </pic:spPr>
                </pic:pic>
              </a:graphicData>
            </a:graphic>
          </wp:inline>
        </w:drawing>
      </w:r>
    </w:p>
    <w:p w14:paraId="6BAC216B" w14:textId="77777777" w:rsidR="006822D8" w:rsidRDefault="006822D8">
      <w:r w:rsidRPr="006822D8">
        <w:rPr>
          <w:noProof/>
          <w:lang w:val="fr-CH" w:eastAsia="fr-CH"/>
        </w:rPr>
        <w:drawing>
          <wp:inline distT="0" distB="0" distL="0" distR="0" wp14:anchorId="0C4C316F" wp14:editId="621135AE">
            <wp:extent cx="4979670" cy="4191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79670" cy="419100"/>
                    </a:xfrm>
                    <a:prstGeom prst="rect">
                      <a:avLst/>
                    </a:prstGeom>
                    <a:noFill/>
                    <a:ln>
                      <a:noFill/>
                    </a:ln>
                  </pic:spPr>
                </pic:pic>
              </a:graphicData>
            </a:graphic>
          </wp:inline>
        </w:drawing>
      </w:r>
    </w:p>
    <w:p w14:paraId="458AE3AE" w14:textId="77777777" w:rsidR="006822D8" w:rsidRDefault="006822D8"/>
    <w:p w14:paraId="7C4D73EE" w14:textId="77777777" w:rsidR="006822D8" w:rsidRDefault="006822D8">
      <w:r w:rsidRPr="006822D8">
        <w:rPr>
          <w:noProof/>
          <w:lang w:val="fr-CH" w:eastAsia="fr-CH"/>
        </w:rPr>
        <w:drawing>
          <wp:inline distT="0" distB="0" distL="0" distR="0" wp14:anchorId="4945438E" wp14:editId="013D7548">
            <wp:extent cx="4293870" cy="41148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93870" cy="411480"/>
                    </a:xfrm>
                    <a:prstGeom prst="rect">
                      <a:avLst/>
                    </a:prstGeom>
                    <a:noFill/>
                    <a:ln>
                      <a:noFill/>
                    </a:ln>
                  </pic:spPr>
                </pic:pic>
              </a:graphicData>
            </a:graphic>
          </wp:inline>
        </w:drawing>
      </w:r>
    </w:p>
    <w:p w14:paraId="4A78650D" w14:textId="77777777" w:rsidR="006822D8" w:rsidRDefault="006822D8">
      <w:r w:rsidRPr="006822D8">
        <w:rPr>
          <w:noProof/>
          <w:lang w:val="fr-CH" w:eastAsia="fr-CH"/>
        </w:rPr>
        <w:drawing>
          <wp:inline distT="0" distB="0" distL="0" distR="0" wp14:anchorId="2DC904B4" wp14:editId="13C6340D">
            <wp:extent cx="3608070" cy="3695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08070" cy="369570"/>
                    </a:xfrm>
                    <a:prstGeom prst="rect">
                      <a:avLst/>
                    </a:prstGeom>
                    <a:noFill/>
                    <a:ln>
                      <a:noFill/>
                    </a:ln>
                  </pic:spPr>
                </pic:pic>
              </a:graphicData>
            </a:graphic>
          </wp:inline>
        </w:drawing>
      </w:r>
    </w:p>
    <w:p w14:paraId="07C98296" w14:textId="77777777" w:rsidR="006822D8" w:rsidRDefault="006822D8"/>
    <w:p w14:paraId="58A36651" w14:textId="77777777" w:rsidR="006822D8" w:rsidRDefault="006822D8">
      <w:r w:rsidRPr="006822D8">
        <w:rPr>
          <w:noProof/>
          <w:lang w:val="fr-CH" w:eastAsia="fr-CH"/>
        </w:rPr>
        <w:lastRenderedPageBreak/>
        <w:drawing>
          <wp:inline distT="0" distB="0" distL="0" distR="0" wp14:anchorId="35C7A0B7" wp14:editId="466D6156">
            <wp:extent cx="5760720" cy="391247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912479"/>
                    </a:xfrm>
                    <a:prstGeom prst="rect">
                      <a:avLst/>
                    </a:prstGeom>
                    <a:noFill/>
                    <a:ln>
                      <a:noFill/>
                    </a:ln>
                  </pic:spPr>
                </pic:pic>
              </a:graphicData>
            </a:graphic>
          </wp:inline>
        </w:drawing>
      </w:r>
    </w:p>
    <w:p w14:paraId="0F99299D" w14:textId="77777777" w:rsidR="006822D8" w:rsidRDefault="006822D8">
      <w:pPr>
        <w:spacing w:after="160" w:line="259" w:lineRule="auto"/>
      </w:pPr>
      <w:r>
        <w:br w:type="page"/>
      </w:r>
    </w:p>
    <w:p w14:paraId="01DE2D01" w14:textId="77777777" w:rsidR="006822D8" w:rsidRDefault="006822D8">
      <w:r w:rsidRPr="006822D8">
        <w:rPr>
          <w:noProof/>
          <w:lang w:val="fr-CH" w:eastAsia="fr-CH"/>
        </w:rPr>
        <w:lastRenderedPageBreak/>
        <w:drawing>
          <wp:inline distT="0" distB="0" distL="0" distR="0" wp14:anchorId="6D3C0219" wp14:editId="32295B77">
            <wp:extent cx="5760720" cy="3823419"/>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823419"/>
                    </a:xfrm>
                    <a:prstGeom prst="rect">
                      <a:avLst/>
                    </a:prstGeom>
                    <a:noFill/>
                    <a:ln>
                      <a:noFill/>
                    </a:ln>
                  </pic:spPr>
                </pic:pic>
              </a:graphicData>
            </a:graphic>
          </wp:inline>
        </w:drawing>
      </w:r>
    </w:p>
    <w:sectPr w:rsidR="006822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3B3C7" w14:textId="77777777" w:rsidR="00EA646A" w:rsidRDefault="00EA646A" w:rsidP="00A230DA">
      <w:pPr>
        <w:spacing w:after="0" w:line="240" w:lineRule="auto"/>
      </w:pPr>
      <w:r>
        <w:separator/>
      </w:r>
    </w:p>
  </w:endnote>
  <w:endnote w:type="continuationSeparator" w:id="0">
    <w:p w14:paraId="212E7ADB" w14:textId="77777777" w:rsidR="00EA646A" w:rsidRDefault="00EA646A" w:rsidP="00A23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0E19E" w14:textId="77777777" w:rsidR="00EA646A" w:rsidRDefault="00EA646A" w:rsidP="00A230DA">
      <w:pPr>
        <w:spacing w:after="0" w:line="240" w:lineRule="auto"/>
      </w:pPr>
      <w:r>
        <w:separator/>
      </w:r>
    </w:p>
  </w:footnote>
  <w:footnote w:type="continuationSeparator" w:id="0">
    <w:p w14:paraId="5534FEAB" w14:textId="77777777" w:rsidR="00EA646A" w:rsidRDefault="00EA646A" w:rsidP="00A230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B38BA"/>
    <w:multiLevelType w:val="hybridMultilevel"/>
    <w:tmpl w:val="1F60308A"/>
    <w:lvl w:ilvl="0" w:tplc="8A78998C">
      <w:start w:val="1"/>
      <w:numFmt w:val="low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DFC6B87"/>
    <w:multiLevelType w:val="hybridMultilevel"/>
    <w:tmpl w:val="90B29A96"/>
    <w:lvl w:ilvl="0" w:tplc="96F0FA78">
      <w:start w:val="1"/>
      <w:numFmt w:val="low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EEE6A89"/>
    <w:multiLevelType w:val="hybridMultilevel"/>
    <w:tmpl w:val="BCD82676"/>
    <w:lvl w:ilvl="0" w:tplc="D4B60316">
      <w:start w:val="1"/>
      <w:numFmt w:val="bullet"/>
      <w:lvlText w:val="-"/>
      <w:lvlJc w:val="left"/>
      <w:pPr>
        <w:ind w:left="720" w:hanging="360"/>
      </w:pPr>
      <w:rPr>
        <w:rFonts w:ascii="Arial" w:eastAsia="Calibr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4E75CA3"/>
    <w:multiLevelType w:val="hybridMultilevel"/>
    <w:tmpl w:val="C074BD5A"/>
    <w:lvl w:ilvl="0" w:tplc="F4EEF6A6">
      <w:start w:val="1"/>
      <w:numFmt w:val="lowerRoman"/>
      <w:lvlText w:val="%1)"/>
      <w:lvlJc w:val="left"/>
      <w:pPr>
        <w:ind w:left="1428" w:hanging="72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4" w15:restartNumberingAfterBreak="0">
    <w:nsid w:val="58C96ABE"/>
    <w:multiLevelType w:val="hybridMultilevel"/>
    <w:tmpl w:val="A482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957F9"/>
    <w:multiLevelType w:val="hybridMultilevel"/>
    <w:tmpl w:val="7F44E6A2"/>
    <w:lvl w:ilvl="0" w:tplc="7458B274">
      <w:start w:val="2"/>
      <w:numFmt w:val="bullet"/>
      <w:lvlText w:val="-"/>
      <w:lvlJc w:val="left"/>
      <w:pPr>
        <w:ind w:left="720" w:hanging="360"/>
      </w:pPr>
      <w:rPr>
        <w:rFonts w:ascii="Times New Roman" w:eastAsia="MS Mincho"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FE57742"/>
    <w:multiLevelType w:val="hybridMultilevel"/>
    <w:tmpl w:val="A9744AA4"/>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76A028A5"/>
    <w:multiLevelType w:val="hybridMultilevel"/>
    <w:tmpl w:val="E41210BC"/>
    <w:lvl w:ilvl="0" w:tplc="7458B274">
      <w:start w:val="2"/>
      <w:numFmt w:val="bullet"/>
      <w:lvlText w:val="-"/>
      <w:lvlJc w:val="left"/>
      <w:pPr>
        <w:ind w:left="720" w:hanging="360"/>
      </w:pPr>
      <w:rPr>
        <w:rFonts w:ascii="Times New Roman" w:eastAsia="MS Mincho"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A4A"/>
    <w:rsid w:val="000209D6"/>
    <w:rsid w:val="000325B9"/>
    <w:rsid w:val="00067EDE"/>
    <w:rsid w:val="000A6D18"/>
    <w:rsid w:val="000A75A2"/>
    <w:rsid w:val="001633B8"/>
    <w:rsid w:val="001F5A4A"/>
    <w:rsid w:val="00224163"/>
    <w:rsid w:val="002424E5"/>
    <w:rsid w:val="00250E20"/>
    <w:rsid w:val="002C1043"/>
    <w:rsid w:val="003F0C40"/>
    <w:rsid w:val="004409CD"/>
    <w:rsid w:val="0047248B"/>
    <w:rsid w:val="00544943"/>
    <w:rsid w:val="00554D1A"/>
    <w:rsid w:val="00566D8B"/>
    <w:rsid w:val="005A115A"/>
    <w:rsid w:val="0062315C"/>
    <w:rsid w:val="006822D8"/>
    <w:rsid w:val="00693050"/>
    <w:rsid w:val="006A0E0D"/>
    <w:rsid w:val="00701A45"/>
    <w:rsid w:val="0074381D"/>
    <w:rsid w:val="00770D5F"/>
    <w:rsid w:val="00781176"/>
    <w:rsid w:val="008029BB"/>
    <w:rsid w:val="008F3E9D"/>
    <w:rsid w:val="0094607E"/>
    <w:rsid w:val="009E439E"/>
    <w:rsid w:val="00A230DA"/>
    <w:rsid w:val="00A36527"/>
    <w:rsid w:val="00A609FC"/>
    <w:rsid w:val="00AA2AD3"/>
    <w:rsid w:val="00AA339E"/>
    <w:rsid w:val="00AA4EEC"/>
    <w:rsid w:val="00AE4A83"/>
    <w:rsid w:val="00AF52CD"/>
    <w:rsid w:val="00B419E4"/>
    <w:rsid w:val="00C13363"/>
    <w:rsid w:val="00C32812"/>
    <w:rsid w:val="00C40987"/>
    <w:rsid w:val="00C871E0"/>
    <w:rsid w:val="00CA3047"/>
    <w:rsid w:val="00CC36EC"/>
    <w:rsid w:val="00D77430"/>
    <w:rsid w:val="00DF72DB"/>
    <w:rsid w:val="00E762AB"/>
    <w:rsid w:val="00EA646A"/>
    <w:rsid w:val="00F3180F"/>
    <w:rsid w:val="00F45D6A"/>
    <w:rsid w:val="00F85BF8"/>
    <w:rsid w:val="00FF65D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A3B4"/>
  <w15:docId w15:val="{EF52B826-C330-4571-9F8B-33B4D00B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F5A4A"/>
    <w:pPr>
      <w:spacing w:after="200" w:line="276" w:lineRule="auto"/>
    </w:pPr>
    <w:rPr>
      <w:rFonts w:ascii="Calibri" w:eastAsia="Calibri" w:hAnsi="Calibri"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5A4A"/>
    <w:pPr>
      <w:ind w:left="720"/>
      <w:contextualSpacing/>
    </w:pPr>
  </w:style>
  <w:style w:type="paragraph" w:styleId="En-tte">
    <w:name w:val="header"/>
    <w:basedOn w:val="Normal"/>
    <w:link w:val="En-tteCar"/>
    <w:uiPriority w:val="99"/>
    <w:unhideWhenUsed/>
    <w:rsid w:val="00A230DA"/>
    <w:pPr>
      <w:tabs>
        <w:tab w:val="center" w:pos="4703"/>
        <w:tab w:val="right" w:pos="9406"/>
      </w:tabs>
      <w:spacing w:after="0" w:line="240" w:lineRule="auto"/>
    </w:pPr>
  </w:style>
  <w:style w:type="character" w:customStyle="1" w:styleId="En-tteCar">
    <w:name w:val="En-tête Car"/>
    <w:basedOn w:val="Policepardfaut"/>
    <w:link w:val="En-tte"/>
    <w:uiPriority w:val="99"/>
    <w:rsid w:val="00A230DA"/>
    <w:rPr>
      <w:rFonts w:ascii="Calibri" w:eastAsia="Calibri" w:hAnsi="Calibri" w:cs="Times New Roman"/>
      <w:lang w:val="fr-FR"/>
    </w:rPr>
  </w:style>
  <w:style w:type="paragraph" w:styleId="Pieddepage">
    <w:name w:val="footer"/>
    <w:basedOn w:val="Normal"/>
    <w:link w:val="PieddepageCar"/>
    <w:uiPriority w:val="99"/>
    <w:unhideWhenUsed/>
    <w:rsid w:val="00A230D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230DA"/>
    <w:rPr>
      <w:rFonts w:ascii="Calibri" w:eastAsia="Calibri" w:hAnsi="Calibri" w:cs="Times New Roman"/>
      <w:lang w:val="fr-FR"/>
    </w:rPr>
  </w:style>
  <w:style w:type="paragraph" w:styleId="Textedebulles">
    <w:name w:val="Balloon Text"/>
    <w:basedOn w:val="Normal"/>
    <w:link w:val="TextedebullesCar"/>
    <w:uiPriority w:val="99"/>
    <w:semiHidden/>
    <w:unhideWhenUsed/>
    <w:rsid w:val="006A0E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0E0D"/>
    <w:rPr>
      <w:rFonts w:ascii="Tahoma" w:eastAsia="Calibri" w:hAnsi="Tahoma" w:cs="Tahoma"/>
      <w:sz w:val="16"/>
      <w:szCs w:val="16"/>
      <w:lang w:val="fr-FR"/>
    </w:rPr>
  </w:style>
  <w:style w:type="character" w:styleId="Marquedecommentaire">
    <w:name w:val="annotation reference"/>
    <w:basedOn w:val="Policepardfaut"/>
    <w:uiPriority w:val="99"/>
    <w:semiHidden/>
    <w:unhideWhenUsed/>
    <w:rsid w:val="00AA2AD3"/>
    <w:rPr>
      <w:sz w:val="16"/>
      <w:szCs w:val="16"/>
    </w:rPr>
  </w:style>
  <w:style w:type="paragraph" w:styleId="Commentaire">
    <w:name w:val="annotation text"/>
    <w:basedOn w:val="Normal"/>
    <w:link w:val="CommentaireCar"/>
    <w:uiPriority w:val="99"/>
    <w:semiHidden/>
    <w:unhideWhenUsed/>
    <w:rsid w:val="00AA2AD3"/>
    <w:pPr>
      <w:spacing w:line="240" w:lineRule="auto"/>
    </w:pPr>
    <w:rPr>
      <w:sz w:val="20"/>
      <w:szCs w:val="20"/>
    </w:rPr>
  </w:style>
  <w:style w:type="character" w:customStyle="1" w:styleId="CommentaireCar">
    <w:name w:val="Commentaire Car"/>
    <w:basedOn w:val="Policepardfaut"/>
    <w:link w:val="Commentaire"/>
    <w:uiPriority w:val="99"/>
    <w:semiHidden/>
    <w:rsid w:val="00AA2AD3"/>
    <w:rPr>
      <w:rFonts w:ascii="Calibri" w:eastAsia="Calibri" w:hAnsi="Calibri" w:cs="Times New Roman"/>
      <w:sz w:val="20"/>
      <w:szCs w:val="20"/>
      <w:lang w:val="fr-FR"/>
    </w:rPr>
  </w:style>
  <w:style w:type="paragraph" w:styleId="Objetducommentaire">
    <w:name w:val="annotation subject"/>
    <w:basedOn w:val="Commentaire"/>
    <w:next w:val="Commentaire"/>
    <w:link w:val="ObjetducommentaireCar"/>
    <w:uiPriority w:val="99"/>
    <w:semiHidden/>
    <w:unhideWhenUsed/>
    <w:rsid w:val="00AA2AD3"/>
    <w:rPr>
      <w:b/>
      <w:bCs/>
    </w:rPr>
  </w:style>
  <w:style w:type="character" w:customStyle="1" w:styleId="ObjetducommentaireCar">
    <w:name w:val="Objet du commentaire Car"/>
    <w:basedOn w:val="CommentaireCar"/>
    <w:link w:val="Objetducommentaire"/>
    <w:uiPriority w:val="99"/>
    <w:semiHidden/>
    <w:rsid w:val="00AA2AD3"/>
    <w:rPr>
      <w:rFonts w:ascii="Calibri" w:eastAsia="Calibri" w:hAnsi="Calibri" w:cs="Times New Roman"/>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9728-2B69-46BA-AEA8-0B79D068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1301</Words>
  <Characters>7161</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Inza Koné</dc:creator>
  <cp:lastModifiedBy>Inza Koné</cp:lastModifiedBy>
  <cp:revision>3</cp:revision>
  <dcterms:created xsi:type="dcterms:W3CDTF">2016-10-12T08:26:00Z</dcterms:created>
  <dcterms:modified xsi:type="dcterms:W3CDTF">2016-10-12T23:18:00Z</dcterms:modified>
</cp:coreProperties>
</file>