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jpzqmumfyx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Case Conceptualization Templates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6m2wjf8g5v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CBT Template</w:t>
      </w:r>
    </w:p>
    <w:p w:rsidR="00000000" w:rsidDel="00000000" w:rsidP="00000000" w:rsidRDefault="00000000" w:rsidRPr="00000000" w14:paraId="00000003">
      <w:pPr>
        <w:spacing w:after="0" w:before="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sz w:val="24"/>
          <w:szCs w:val="24"/>
          <w:rtl w:val="0"/>
        </w:rPr>
        <w:t xml:space="preserve">Synthesized from Beck's cognitive model (core belief → intermediate beliefs → situation → automatic thoughts → reaction) and Persons &amp; Tompkins's case formulation elements (origins, mechanism, precipitant, symptoms).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4.3276946840974"/>
        <w:gridCol w:w="3502.7238820027883"/>
        <w:gridCol w:w="3128.460234336737"/>
        <w:tblGridChange w:id="0">
          <w:tblGrid>
            <w:gridCol w:w="2394.3276946840974"/>
            <w:gridCol w:w="3502.7238820027883"/>
            <w:gridCol w:w="3128.460234336737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What Sara fills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Helper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Presenting problem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issue as she'd state it clinically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"What's the client struggling with, in one or two sentences?"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Where this pattern likely developed (historical/developmental)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"What in the client's history might explain why this belief took hold?"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Core belief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deep, global belief about self/others/world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"What's the client's core belief about themselves, others, or the world?"</w:t>
            </w:r>
          </w:p>
        </w:tc>
      </w:tr>
      <w:tr>
        <w:trPr>
          <w:cantSplit w:val="0"/>
          <w:trHeight w:val="17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Intermediate beliefs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rules, attitudes, or assumptions that follow from the core belief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"What 'rule' or assumption does the client live by that follows from that core belief? (e.g., 'If I'm not perfect, I'll be rejected.')"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Situation/precipitant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specific triggering event from the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"Pick one concrete moment from the case that activates this pattern."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Automatic thought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in-the-moment thought triggered by the situation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"What's likely going through their mind right then?"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Emotional, behavioral, and physiological response together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"What do they feel, do, and physically notice, in that moment?"</w:t>
            </w:r>
          </w:p>
        </w:tc>
      </w:tr>
      <w:tr>
        <w:trPr>
          <w:cantSplit w:val="0"/>
          <w:trHeight w:val="17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Maintaining mechanism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the reaction loops back and reinforces the core belief/pattern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"How does this reaction end up confirming or strengthening the original belief, keeping the cycle going?"</w:t>
            </w:r>
          </w:p>
        </w:tc>
      </w:tr>
    </w:tbl>
    <w:p w:rsidR="00000000" w:rsidDel="00000000" w:rsidP="00000000" w:rsidRDefault="00000000" w:rsidRPr="00000000" w14:paraId="0000001F">
      <w:pPr>
        <w:spacing w:after="0" w:before="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sz w:val="24"/>
          <w:szCs w:val="24"/>
          <w:rtl w:val="0"/>
        </w:rPr>
        <w:t xml:space="preserve">If time is tight: "Origins" and "Maintaining mechanism" are the most droppable fields. The core Beck chain (core belief → intermediate belief → situation → automatic thought → reaction) is load-bearing.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34fthcw2n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qh9vtubt64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DBT Template</w:t>
      </w:r>
    </w:p>
    <w:p w:rsidR="00000000" w:rsidDel="00000000" w:rsidP="00000000" w:rsidRDefault="00000000" w:rsidRPr="00000000" w14:paraId="00000022">
      <w:pPr>
        <w:spacing w:after="0" w:before="0"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Based on Linehan's biosocial theory and target hierarchy (DBT in Clinical Practice).</w:t>
      </w:r>
    </w:p>
    <w:p w:rsidR="00000000" w:rsidDel="00000000" w:rsidP="00000000" w:rsidRDefault="00000000" w:rsidRPr="00000000" w14:paraId="00000023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 fields (v1):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6.803252088066"/>
        <w:gridCol w:w="5628.708558935557"/>
        <w:tblGridChange w:id="0">
          <w:tblGrid>
            <w:gridCol w:w="3396.803252088066"/>
            <w:gridCol w:w="5628.708558935557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Target behavior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"What exactly does the client do — described so someone could see it happening?"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Biological/temperamental vulnerability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"What suggests a baseline sensitivity to emotional reactivity, independent of any one event?"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Invalidating environment (historical)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"What in the client's history suggests their emotional responses were routinely dismissed or punished?"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Prompting 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"What was the specific thing that set this off?"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Chain of links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"Walk through the sequence — thoughts, feelings, sensations, urges — leading to the behavior."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Consequences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"What did the behavior get them immediately? What did it cost them after?"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Target hierarchy placement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"Where does this behavior sit in DBT's priority order — life-threatening, therapy-interfering, quality-of-life-interfering, or a skills deficit?"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 deficit vs. motivation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"If they had the skill to do something different, would they have used it?"</w:t>
            </w:r>
          </w:p>
        </w:tc>
      </w:tr>
    </w:tbl>
    <w:p w:rsidR="00000000" w:rsidDel="00000000" w:rsidP="00000000" w:rsidRDefault="00000000" w:rsidRPr="00000000" w14:paraId="00000036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Optional-depth field (only if time allows):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.7219840470052"/>
        <w:gridCol w:w="7434.789826976617"/>
        <w:tblGridChange w:id="0">
          <w:tblGrid>
            <w:gridCol w:w="1590.7219840470052"/>
            <w:gridCol w:w="7434.789826976617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Treatment stage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"Given the severity and frequency of this behavior, does this look like Stage 1 (safety/stabilization) or later-stage work?"</w:t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dqosrwr0p1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wp4109g5f6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Generation Logic (Flow 4 — Explain/Defend/Justify)</w:t>
      </w:r>
    </w:p>
    <w:p w:rsidR="00000000" w:rsidDel="00000000" w:rsidP="00000000" w:rsidRDefault="00000000" w:rsidRPr="00000000" w14:paraId="0000003D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Approach: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give the AI the rubric/template fields above as background context (not a visible scoring key) and have it generate 2-4 Socratic questions based on what Sara actually wrote, targeting whichever fields seem thin or unstated. Keep this invisible to Sara — it shapes question quality without turning into a visible scorecard, which stays true to "no AI evaluation" scope.</w:t>
      </w:r>
    </w:p>
    <w:p w:rsidR="00000000" w:rsidDel="00000000" w:rsidP="00000000" w:rsidRDefault="00000000" w:rsidRPr="00000000" w14:paraId="0000003E">
      <w:pPr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 types to prompt the AI toward, regardless of modality: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4.6590022892506"/>
        <w:gridCol w:w="2499.0767527860935"/>
        <w:gridCol w:w="4041.776055948278"/>
        <w:tblGridChange w:id="0">
          <w:tblGrid>
            <w:gridCol w:w="2484.6590022892506"/>
            <w:gridCol w:w="2499.0767527860935"/>
            <w:gridCol w:w="4041.776055948278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 phrasing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Evidence check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Ground the claim in the case, not assumption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"What in the case material supports that read, specifically?"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Alternative explanation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Prevent premature closure on one 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"What's another plausible explanation for this same behavior?"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Specificity push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Catch vague or generic answers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"Can you say that in terms of exactly what the client would think or do?"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Link-the-gap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Target whichever field was filled thinnest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"You named X — what connects that to Y in this client's case?"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Stakes/consequence check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Make her think about treatment implications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"If this formulation is right, what would that mean for how you'd approach the next session?"</w:t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Fallback heuristic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(if free-form generation is inconsistent): target the "link-the-gap" question at whichever field is shortest/vaguest (e.g., under ~10 words or missing).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