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283"/>
        <w:jc w:val="left"/>
        <w:rPr/>
      </w:pPr>
      <w:r>
        <w:rPr/>
        <w:t>Step-by-Step Guide to Using a Virtual Office for GST Registration in India</w:t>
      </w:r>
    </w:p>
    <w:p>
      <w:pPr>
        <w:pStyle w:val="BodyText"/>
        <w:bidi w:val="0"/>
        <w:spacing w:before="0" w:after="283"/>
        <w:jc w:val="left"/>
        <w:rPr/>
      </w:pPr>
      <w:hyperlink r:id="rId2">
        <w:r>
          <w:rPr>
            <w:rStyle w:val="Hyperlink"/>
            <w:b/>
            <w:b/>
            <w:bCs/>
          </w:rPr>
          <w:t>Virtual office for GST registration</w:t>
        </w:r>
        <w:r>
          <w:rPr>
            <w:rStyle w:val="Hyperlink"/>
          </w:rPr>
          <w:t xml:space="preserve"> </w:t>
        </w:r>
      </w:hyperlink>
      <w:r>
        <w:rPr/>
        <w:t>is becoming an essential tool for startups, eCommerce sellers, freelancers, and growing businesses across India. It provides a cost-efficient and legally recognized means to establish a business presence in multiple states without the burden of leasing or owning physical office spaces. This is especially advantageous when seeking GST registration in a state where the business has no traditional brick-and-mortar office.</w:t>
      </w:r>
    </w:p>
    <w:p>
      <w:pPr>
        <w:pStyle w:val="BodyText"/>
        <w:bidi w:val="0"/>
        <w:spacing w:before="0" w:after="283"/>
        <w:jc w:val="left"/>
        <w:rPr/>
      </w:pPr>
      <w:r>
        <w:rPr>
          <w:rStyle w:val="Strong"/>
        </w:rPr>
        <w:t>Virtual office for GST registration</w:t>
      </w:r>
      <w:r>
        <w:rPr/>
        <w:t xml:space="preserve"> gives businesses access to a commercial address accepted by the Goods and Services Tax (GST) authorities. This address may serve as the Principal Place of Business (PPOB) or Additional Place of Business (APOB), allowing for streamlined operations without the cost of setting up infrastructure. If the provider offers proper documentation, the registration remains fully valid in the eyes of law.</w:t>
      </w:r>
    </w:p>
    <w:p>
      <w:pPr>
        <w:pStyle w:val="BodyText"/>
        <w:bidi w:val="0"/>
        <w:spacing w:before="0" w:after="283"/>
        <w:jc w:val="left"/>
        <w:rPr/>
      </w:pPr>
      <w:r>
        <w:rPr>
          <w:rStyle w:val="Strong"/>
        </w:rPr>
        <w:t>Virtual office for GST registration</w:t>
      </w:r>
      <w:r>
        <w:rPr/>
        <w:t xml:space="preserve"> is considered legally compliant by the GST department, provided that complete documentation is submitted. This includes a registered Rent Agreement, a No Objection Certificate (NOC) from the property owner, and a recent utility bill. These documents collectively validate the operational presence of your business at the given address. It is essential to partner with a reliable virtual office provider capable of delivering these documents in the correct format.</w:t>
      </w:r>
    </w:p>
    <w:p>
      <w:pPr>
        <w:pStyle w:val="BodyText"/>
        <w:bidi w:val="0"/>
        <w:spacing w:before="0" w:after="283"/>
        <w:jc w:val="left"/>
        <w:rPr/>
      </w:pPr>
      <w:r>
        <w:rPr>
          <w:rStyle w:val="Strong"/>
        </w:rPr>
        <w:t>Virtual office for GST registration</w:t>
      </w:r>
      <w:r>
        <w:rPr/>
        <w:t xml:space="preserve"> starts with selecting a trusted service provider offering registered commercial addresses in metro cities such as Bangalore, Delhi, Mumbai, Hyderabad, and others. These cities are often required for registering GST in states with high eCommerce demand or warehouse operations.</w:t>
      </w:r>
    </w:p>
    <w:p>
      <w:pPr>
        <w:pStyle w:val="BodyText"/>
        <w:bidi w:val="0"/>
        <w:spacing w:before="0" w:after="283"/>
        <w:jc w:val="left"/>
        <w:rPr/>
      </w:pPr>
      <w:r>
        <w:rPr>
          <w:rStyle w:val="Strong"/>
        </w:rPr>
        <w:t>Virtual office for GST registration</w:t>
      </w:r>
      <w:r>
        <w:rPr/>
        <w:t xml:space="preserve"> must be executed in a structured, step-by-step manner to ensure smooth processing and legal accuracy. Below is a comprehensive step-by-step guide that walks you through the complete process of using a virtual office for GST registration in India.</w:t>
      </w:r>
    </w:p>
    <w:p>
      <w:pPr>
        <w:pStyle w:val="Heading3"/>
        <w:numPr>
          <w:ilvl w:val="0"/>
          <w:numId w:val="0"/>
        </w:numPr>
        <w:bidi w:val="0"/>
        <w:spacing w:before="140" w:after="120"/>
        <w:ind w:hanging="0" w:left="0"/>
        <w:jc w:val="left"/>
        <w:rPr/>
      </w:pPr>
      <w:r>
        <w:rPr/>
        <w:t>Step 1: Understand the Purpose of Using a Virtual Office</w:t>
      </w:r>
    </w:p>
    <w:p>
      <w:pPr>
        <w:pStyle w:val="BodyText"/>
        <w:bidi w:val="0"/>
        <w:spacing w:before="0" w:after="283"/>
        <w:jc w:val="left"/>
        <w:rPr/>
      </w:pPr>
      <w:r>
        <w:rPr>
          <w:rStyle w:val="Strong"/>
        </w:rPr>
        <w:t>Virtual office for GST registration</w:t>
      </w:r>
      <w:r>
        <w:rPr/>
        <w:t xml:space="preserve"> is ideal for businesses operating in states where they do not maintain physical premises. For instance, eCommerce sellers using Amazon, Flipkart, or other third-party warehouses in different states must register for GST in those locations. In such cases, a virtual office allows you to establish a legal business address without investing in real estate.</w:t>
      </w:r>
    </w:p>
    <w:p>
      <w:pPr>
        <w:pStyle w:val="Heading3"/>
        <w:numPr>
          <w:ilvl w:val="0"/>
          <w:numId w:val="0"/>
        </w:numPr>
        <w:bidi w:val="0"/>
        <w:spacing w:before="140" w:after="120"/>
        <w:ind w:hanging="0" w:left="0"/>
        <w:jc w:val="left"/>
        <w:rPr/>
      </w:pPr>
      <w:r>
        <w:rPr/>
        <w:t>Step 2: Choose a Reliable Virtual Office Provider</w:t>
      </w:r>
    </w:p>
    <w:p>
      <w:pPr>
        <w:pStyle w:val="BodyText"/>
        <w:bidi w:val="0"/>
        <w:spacing w:before="0" w:after="283"/>
        <w:jc w:val="left"/>
        <w:rPr/>
      </w:pPr>
      <w:r>
        <w:rPr>
          <w:rStyle w:val="Strong"/>
        </w:rPr>
        <w:t>Virtual office for GST registration</w:t>
      </w:r>
      <w:r>
        <w:rPr/>
        <w:t xml:space="preserve"> is only as good as the legitimacy of your service provider. Select a provider who offers:</w:t>
      </w:r>
    </w:p>
    <w:p>
      <w:pPr>
        <w:pStyle w:val="BodyText"/>
        <w:numPr>
          <w:ilvl w:val="0"/>
          <w:numId w:val="1"/>
        </w:numPr>
        <w:tabs>
          <w:tab w:val="clear" w:pos="1134"/>
          <w:tab w:val="left" w:pos="709" w:leader="none"/>
        </w:tabs>
        <w:bidi w:val="0"/>
        <w:ind w:hanging="283" w:left="709"/>
        <w:jc w:val="left"/>
        <w:rPr/>
      </w:pPr>
      <w:r>
        <w:rPr/>
        <w:t>A valid commercial business address</w:t>
      </w:r>
    </w:p>
    <w:p>
      <w:pPr>
        <w:pStyle w:val="BodyText"/>
        <w:numPr>
          <w:ilvl w:val="0"/>
          <w:numId w:val="1"/>
        </w:numPr>
        <w:tabs>
          <w:tab w:val="clear" w:pos="1134"/>
          <w:tab w:val="left" w:pos="709" w:leader="none"/>
        </w:tabs>
        <w:bidi w:val="0"/>
        <w:ind w:hanging="283" w:left="709"/>
        <w:jc w:val="left"/>
        <w:rPr/>
      </w:pPr>
      <w:r>
        <w:rPr/>
        <w:t>Rent Agreement on proper stamp paper</w:t>
      </w:r>
    </w:p>
    <w:p>
      <w:pPr>
        <w:pStyle w:val="BodyText"/>
        <w:numPr>
          <w:ilvl w:val="0"/>
          <w:numId w:val="1"/>
        </w:numPr>
        <w:tabs>
          <w:tab w:val="clear" w:pos="1134"/>
          <w:tab w:val="left" w:pos="709" w:leader="none"/>
        </w:tabs>
        <w:bidi w:val="0"/>
        <w:ind w:hanging="283" w:left="709"/>
        <w:jc w:val="left"/>
        <w:rPr/>
      </w:pPr>
      <w:r>
        <w:rPr/>
        <w:t>NOC from the actual property owner</w:t>
      </w:r>
    </w:p>
    <w:p>
      <w:pPr>
        <w:pStyle w:val="BodyText"/>
        <w:numPr>
          <w:ilvl w:val="0"/>
          <w:numId w:val="1"/>
        </w:numPr>
        <w:tabs>
          <w:tab w:val="clear" w:pos="1134"/>
          <w:tab w:val="left" w:pos="709" w:leader="none"/>
        </w:tabs>
        <w:bidi w:val="0"/>
        <w:ind w:hanging="283" w:left="709"/>
        <w:jc w:val="left"/>
        <w:rPr/>
      </w:pPr>
      <w:r>
        <w:rPr/>
        <w:t>A utility bill (not older than 60 days)</w:t>
      </w:r>
    </w:p>
    <w:p>
      <w:pPr>
        <w:pStyle w:val="BodyText"/>
        <w:numPr>
          <w:ilvl w:val="0"/>
          <w:numId w:val="1"/>
        </w:numPr>
        <w:tabs>
          <w:tab w:val="clear" w:pos="1134"/>
          <w:tab w:val="left" w:pos="709" w:leader="none"/>
        </w:tabs>
        <w:bidi w:val="0"/>
        <w:ind w:hanging="283" w:left="709"/>
        <w:jc w:val="left"/>
        <w:rPr/>
      </w:pPr>
      <w:r>
        <w:rPr/>
        <w:t>Signage and support during physical verification</w:t>
      </w:r>
    </w:p>
    <w:p>
      <w:pPr>
        <w:pStyle w:val="BodyText"/>
        <w:bidi w:val="0"/>
        <w:spacing w:before="0" w:after="283"/>
        <w:jc w:val="left"/>
        <w:rPr/>
      </w:pPr>
      <w:r>
        <w:rPr/>
        <w:t>Always verify the provider's credentials, past client feedback, and ability to support post-registration compliance.</w:t>
      </w:r>
    </w:p>
    <w:p>
      <w:pPr>
        <w:pStyle w:val="Heading3"/>
        <w:numPr>
          <w:ilvl w:val="0"/>
          <w:numId w:val="0"/>
        </w:numPr>
        <w:bidi w:val="0"/>
        <w:spacing w:before="140" w:after="120"/>
        <w:ind w:hanging="0" w:left="0"/>
        <w:jc w:val="left"/>
        <w:rPr/>
      </w:pPr>
      <w:r>
        <w:rPr/>
        <w:t>Step 3: Obtain Documentation Required for GST Registration</w:t>
      </w:r>
    </w:p>
    <w:p>
      <w:pPr>
        <w:pStyle w:val="BodyText"/>
        <w:bidi w:val="0"/>
        <w:spacing w:before="0" w:after="283"/>
        <w:jc w:val="left"/>
        <w:rPr/>
      </w:pPr>
      <w:r>
        <w:rPr>
          <w:rStyle w:val="Strong"/>
        </w:rPr>
        <w:t>Virtual office for GST registration</w:t>
      </w:r>
      <w:r>
        <w:rPr/>
        <w:t xml:space="preserve"> requires the following legally compliant documents from the provider:</w:t>
      </w:r>
    </w:p>
    <w:p>
      <w:pPr>
        <w:pStyle w:val="BodyText"/>
        <w:numPr>
          <w:ilvl w:val="0"/>
          <w:numId w:val="2"/>
        </w:numPr>
        <w:tabs>
          <w:tab w:val="clear" w:pos="1134"/>
          <w:tab w:val="left" w:pos="709" w:leader="none"/>
        </w:tabs>
        <w:bidi w:val="0"/>
        <w:ind w:hanging="283" w:left="709"/>
        <w:jc w:val="left"/>
        <w:rPr/>
      </w:pPr>
      <w:r>
        <w:rPr>
          <w:rStyle w:val="Strong"/>
        </w:rPr>
        <w:t>Rent Agreement</w:t>
      </w:r>
      <w:r>
        <w:rPr/>
        <w:t xml:space="preserve"> – Executed between the virtual office provider (owner or lessor) and your business entity, specifying usage rights.</w:t>
      </w:r>
    </w:p>
    <w:p>
      <w:pPr>
        <w:pStyle w:val="BodyText"/>
        <w:numPr>
          <w:ilvl w:val="0"/>
          <w:numId w:val="2"/>
        </w:numPr>
        <w:tabs>
          <w:tab w:val="clear" w:pos="1134"/>
          <w:tab w:val="left" w:pos="709" w:leader="none"/>
        </w:tabs>
        <w:bidi w:val="0"/>
        <w:ind w:hanging="283" w:left="709"/>
        <w:jc w:val="left"/>
        <w:rPr/>
      </w:pPr>
      <w:r>
        <w:rPr>
          <w:rStyle w:val="Strong"/>
        </w:rPr>
        <w:t>No Objection Certificate (NOC)</w:t>
      </w:r>
      <w:r>
        <w:rPr/>
        <w:t xml:space="preserve"> – Issued by the property owner, explicitly stating their consent to use the premises for GST registration.</w:t>
      </w:r>
    </w:p>
    <w:p>
      <w:pPr>
        <w:pStyle w:val="BodyText"/>
        <w:numPr>
          <w:ilvl w:val="0"/>
          <w:numId w:val="2"/>
        </w:numPr>
        <w:tabs>
          <w:tab w:val="clear" w:pos="1134"/>
          <w:tab w:val="left" w:pos="709" w:leader="none"/>
        </w:tabs>
        <w:bidi w:val="0"/>
        <w:ind w:hanging="283" w:left="709"/>
        <w:jc w:val="left"/>
        <w:rPr/>
      </w:pPr>
      <w:r>
        <w:rPr>
          <w:rStyle w:val="Strong"/>
        </w:rPr>
        <w:t>Utility Bill</w:t>
      </w:r>
      <w:r>
        <w:rPr/>
        <w:t xml:space="preserve"> – A current electricity or water bill to establish the premises’ active status and legal occupancy.</w:t>
      </w:r>
    </w:p>
    <w:p>
      <w:pPr>
        <w:pStyle w:val="BodyText"/>
        <w:bidi w:val="0"/>
        <w:spacing w:before="0" w:after="283"/>
        <w:jc w:val="left"/>
        <w:rPr/>
      </w:pPr>
      <w:r>
        <w:rPr/>
        <w:t>Ensure that all documentation is correctly dated and signed, and that names and address formats match across all documents.</w:t>
      </w:r>
    </w:p>
    <w:p>
      <w:pPr>
        <w:pStyle w:val="Heading3"/>
        <w:numPr>
          <w:ilvl w:val="0"/>
          <w:numId w:val="0"/>
        </w:numPr>
        <w:bidi w:val="0"/>
        <w:spacing w:before="140" w:after="120"/>
        <w:ind w:hanging="0" w:left="0"/>
        <w:jc w:val="left"/>
        <w:rPr/>
      </w:pPr>
      <w:r>
        <w:rPr/>
        <w:t>Step 4: Apply for GST Registration on the GST Portal</w:t>
      </w:r>
    </w:p>
    <w:p>
      <w:pPr>
        <w:pStyle w:val="BodyText"/>
        <w:bidi w:val="0"/>
        <w:spacing w:before="0" w:after="283"/>
        <w:jc w:val="left"/>
        <w:rPr/>
      </w:pPr>
      <w:hyperlink r:id="rId3">
        <w:r>
          <w:rPr>
            <w:rStyle w:val="Hyperlink"/>
            <w:b/>
            <w:b/>
            <w:bCs/>
          </w:rPr>
          <w:t>Virtual office for GST registration</w:t>
        </w:r>
      </w:hyperlink>
      <w:r>
        <w:rPr/>
        <w:t xml:space="preserve"> must be initiated through the official GST portal:  Use the following process:</w:t>
      </w:r>
    </w:p>
    <w:p>
      <w:pPr>
        <w:pStyle w:val="BodyText"/>
        <w:numPr>
          <w:ilvl w:val="0"/>
          <w:numId w:val="3"/>
        </w:numPr>
        <w:tabs>
          <w:tab w:val="clear" w:pos="1134"/>
          <w:tab w:val="left" w:pos="709" w:leader="none"/>
        </w:tabs>
        <w:bidi w:val="0"/>
        <w:ind w:hanging="283" w:left="709"/>
        <w:jc w:val="left"/>
        <w:rPr/>
      </w:pPr>
      <w:r>
        <w:rPr/>
        <w:t>Visit the portal and choose “New Registration”</w:t>
      </w:r>
    </w:p>
    <w:p>
      <w:pPr>
        <w:pStyle w:val="BodyText"/>
        <w:numPr>
          <w:ilvl w:val="0"/>
          <w:numId w:val="3"/>
        </w:numPr>
        <w:tabs>
          <w:tab w:val="clear" w:pos="1134"/>
          <w:tab w:val="left" w:pos="709" w:leader="none"/>
        </w:tabs>
        <w:bidi w:val="0"/>
        <w:ind w:hanging="283" w:left="709"/>
        <w:jc w:val="left"/>
        <w:rPr/>
      </w:pPr>
      <w:r>
        <w:rPr/>
        <w:t>Enter your business’s legal name, PAN, mobile number, and email</w:t>
      </w:r>
    </w:p>
    <w:p>
      <w:pPr>
        <w:pStyle w:val="BodyText"/>
        <w:numPr>
          <w:ilvl w:val="0"/>
          <w:numId w:val="3"/>
        </w:numPr>
        <w:tabs>
          <w:tab w:val="clear" w:pos="1134"/>
          <w:tab w:val="left" w:pos="709" w:leader="none"/>
        </w:tabs>
        <w:bidi w:val="0"/>
        <w:ind w:hanging="283" w:left="709"/>
        <w:jc w:val="left"/>
        <w:rPr/>
      </w:pPr>
      <w:r>
        <w:rPr/>
        <w:t>Provide the virtual office address as your PPOB or APOB</w:t>
      </w:r>
    </w:p>
    <w:p>
      <w:pPr>
        <w:pStyle w:val="BodyText"/>
        <w:numPr>
          <w:ilvl w:val="0"/>
          <w:numId w:val="3"/>
        </w:numPr>
        <w:tabs>
          <w:tab w:val="clear" w:pos="1134"/>
          <w:tab w:val="left" w:pos="709" w:leader="none"/>
        </w:tabs>
        <w:bidi w:val="0"/>
        <w:ind w:hanging="283" w:left="709"/>
        <w:jc w:val="left"/>
        <w:rPr/>
      </w:pPr>
      <w:r>
        <w:rPr/>
        <w:t>Upload the Rent Agreement, NOC, and utility bill</w:t>
      </w:r>
    </w:p>
    <w:p>
      <w:pPr>
        <w:pStyle w:val="BodyText"/>
        <w:numPr>
          <w:ilvl w:val="0"/>
          <w:numId w:val="3"/>
        </w:numPr>
        <w:tabs>
          <w:tab w:val="clear" w:pos="1134"/>
          <w:tab w:val="left" w:pos="709" w:leader="none"/>
        </w:tabs>
        <w:bidi w:val="0"/>
        <w:ind w:hanging="283" w:left="709"/>
        <w:jc w:val="left"/>
        <w:rPr/>
      </w:pPr>
      <w:r>
        <w:rPr/>
        <w:t>Provide bank details, business type, and nature of goods/services</w:t>
      </w:r>
    </w:p>
    <w:p>
      <w:pPr>
        <w:pStyle w:val="BodyText"/>
        <w:numPr>
          <w:ilvl w:val="0"/>
          <w:numId w:val="3"/>
        </w:numPr>
        <w:tabs>
          <w:tab w:val="clear" w:pos="1134"/>
          <w:tab w:val="left" w:pos="709" w:leader="none"/>
        </w:tabs>
        <w:bidi w:val="0"/>
        <w:ind w:hanging="283" w:left="709"/>
        <w:jc w:val="left"/>
        <w:rPr/>
      </w:pPr>
      <w:r>
        <w:rPr/>
        <w:t>Submit the application with a valid Digital Signature Certificate (DSC) or EVC</w:t>
      </w:r>
    </w:p>
    <w:p>
      <w:pPr>
        <w:pStyle w:val="BodyText"/>
        <w:bidi w:val="0"/>
        <w:spacing w:before="0" w:after="283"/>
        <w:jc w:val="left"/>
        <w:rPr/>
      </w:pPr>
      <w:r>
        <w:rPr/>
        <w:t>Double-check that all uploaded documents match the portal’s requirements to avoid rejections.</w:t>
      </w:r>
    </w:p>
    <w:p>
      <w:pPr>
        <w:pStyle w:val="Heading3"/>
        <w:numPr>
          <w:ilvl w:val="0"/>
          <w:numId w:val="0"/>
        </w:numPr>
        <w:bidi w:val="0"/>
        <w:spacing w:before="140" w:after="120"/>
        <w:ind w:hanging="0" w:left="0"/>
        <w:jc w:val="left"/>
        <w:rPr/>
      </w:pPr>
      <w:r>
        <w:rPr/>
        <w:t>Step 5: Verification by GST Officer</w:t>
      </w:r>
    </w:p>
    <w:p>
      <w:pPr>
        <w:pStyle w:val="BodyText"/>
        <w:bidi w:val="0"/>
        <w:spacing w:before="0" w:after="283"/>
        <w:jc w:val="left"/>
        <w:rPr/>
      </w:pPr>
      <w:r>
        <w:rPr>
          <w:rStyle w:val="Strong"/>
        </w:rPr>
        <w:t>Virtual office for GST registration</w:t>
      </w:r>
      <w:r>
        <w:rPr/>
        <w:t xml:space="preserve"> may undergo physical verification based on risk parameters or officer discretion. The GST officer may visit the provided address to confirm the existence of your business.</w:t>
      </w:r>
    </w:p>
    <w:p>
      <w:pPr>
        <w:pStyle w:val="BodyText"/>
        <w:bidi w:val="0"/>
        <w:spacing w:before="0" w:after="283"/>
        <w:jc w:val="left"/>
        <w:rPr/>
      </w:pPr>
      <w:r>
        <w:rPr/>
        <w:t>A reputable virtual office provider will install signage and maintain a file onsite with all documents ready for inspection. Cooperation from your provider during this stage is crucial, especially if clarification calls or site visits occur.</w:t>
      </w:r>
    </w:p>
    <w:p>
      <w:pPr>
        <w:pStyle w:val="Heading3"/>
        <w:numPr>
          <w:ilvl w:val="0"/>
          <w:numId w:val="0"/>
        </w:numPr>
        <w:bidi w:val="0"/>
        <w:spacing w:before="140" w:after="120"/>
        <w:ind w:hanging="0" w:left="0"/>
        <w:jc w:val="left"/>
        <w:rPr/>
      </w:pPr>
      <w:r>
        <w:rPr/>
        <w:t>Step 6: Receive GSTIN and Start Operations</w:t>
      </w:r>
    </w:p>
    <w:p>
      <w:pPr>
        <w:pStyle w:val="BodyText"/>
        <w:bidi w:val="0"/>
        <w:spacing w:before="0" w:after="283"/>
        <w:jc w:val="left"/>
        <w:rPr/>
      </w:pPr>
      <w:r>
        <w:rPr>
          <w:rStyle w:val="Strong"/>
        </w:rPr>
        <w:t>Virtual office for GST registration</w:t>
      </w:r>
      <w:r>
        <w:rPr/>
        <w:t xml:space="preserve"> results in the allotment of a GST Identification Number (GSTIN) once your application is approved. Generally, it takes 7–10 working days post-submission, provided there are no queries or objections.</w:t>
      </w:r>
    </w:p>
    <w:p>
      <w:pPr>
        <w:pStyle w:val="BodyText"/>
        <w:bidi w:val="0"/>
        <w:spacing w:before="0" w:after="283"/>
        <w:jc w:val="left"/>
        <w:rPr/>
      </w:pPr>
      <w:r>
        <w:rPr/>
        <w:t>Once you receive your GSTIN via email and SMS, you may begin issuing invoices, filing GST returns, and conducting lawful business operations in the registered state.</w:t>
      </w:r>
    </w:p>
    <w:p>
      <w:pPr>
        <w:pStyle w:val="Heading3"/>
        <w:numPr>
          <w:ilvl w:val="0"/>
          <w:numId w:val="0"/>
        </w:numPr>
        <w:bidi w:val="0"/>
        <w:spacing w:before="140" w:after="120"/>
        <w:ind w:hanging="0" w:left="0"/>
        <w:jc w:val="left"/>
        <w:rPr/>
      </w:pPr>
      <w:r>
        <w:rPr/>
        <w:t>Step 7: Update APOB for eCommerce Operations</w:t>
      </w:r>
    </w:p>
    <w:p>
      <w:pPr>
        <w:pStyle w:val="BodyText"/>
        <w:bidi w:val="0"/>
        <w:spacing w:before="0" w:after="283"/>
        <w:jc w:val="left"/>
        <w:rPr/>
      </w:pPr>
      <w:r>
        <w:rPr>
          <w:rStyle w:val="Strong"/>
        </w:rPr>
        <w:t>Virtual office for GST registration</w:t>
      </w:r>
      <w:r>
        <w:rPr/>
        <w:t xml:space="preserve"> is particularly relevant to eCommerce entities that store or fulfill orders via third-party warehouses like Amazon or Flipkart. After obtaining PPOB registration, you must update the </w:t>
      </w:r>
      <w:r>
        <w:rPr>
          <w:rStyle w:val="Strong"/>
        </w:rPr>
        <w:t>Additional Place of Business (APOB)</w:t>
      </w:r>
      <w:r>
        <w:rPr/>
        <w:t xml:space="preserve"> in your GST profile to include all such warehouses.</w:t>
      </w:r>
    </w:p>
    <w:p>
      <w:pPr>
        <w:pStyle w:val="BodyText"/>
        <w:bidi w:val="0"/>
        <w:spacing w:before="0" w:after="283"/>
        <w:jc w:val="left"/>
        <w:rPr/>
      </w:pPr>
      <w:r>
        <w:rPr/>
        <w:t>This step is necessary for compliance and smooth functioning of your online marketplace accounts. Most platforms will not activate services until APOB entries are listed correctly in your GST dashboard.</w:t>
      </w:r>
    </w:p>
    <w:p>
      <w:pPr>
        <w:pStyle w:val="Heading3"/>
        <w:numPr>
          <w:ilvl w:val="0"/>
          <w:numId w:val="0"/>
        </w:numPr>
        <w:bidi w:val="0"/>
        <w:spacing w:before="140" w:after="120"/>
        <w:ind w:hanging="0" w:left="0"/>
        <w:jc w:val="left"/>
        <w:rPr/>
      </w:pPr>
      <w:r>
        <w:rPr/>
        <w:t>Step 8: Maintain Compliance and Renew Documents if Needed</w:t>
      </w:r>
    </w:p>
    <w:p>
      <w:pPr>
        <w:pStyle w:val="BodyText"/>
        <w:bidi w:val="0"/>
        <w:spacing w:before="0" w:after="283"/>
        <w:jc w:val="left"/>
        <w:rPr/>
      </w:pPr>
      <w:r>
        <w:rPr>
          <w:rStyle w:val="Strong"/>
        </w:rPr>
        <w:t>Virtual office for GST registration</w:t>
      </w:r>
      <w:r>
        <w:rPr/>
        <w:t xml:space="preserve"> also entails maintaining ongoing compliance. Rent Agreements and NOCs may have expiry dates. It is your responsibility to renew and update these documents proactively.</w:t>
      </w:r>
    </w:p>
    <w:p>
      <w:pPr>
        <w:pStyle w:val="BodyText"/>
        <w:bidi w:val="0"/>
        <w:spacing w:before="0" w:after="283"/>
        <w:jc w:val="left"/>
        <w:rPr/>
      </w:pPr>
      <w:r>
        <w:rPr/>
        <w:t>Any lapse in compliance, failure to respond to GST notices, or submission of expired documents can lead to suspension or cancellation of your GST number.</w:t>
      </w:r>
    </w:p>
    <w:p>
      <w:pPr>
        <w:pStyle w:val="Heading3"/>
        <w:numPr>
          <w:ilvl w:val="0"/>
          <w:numId w:val="0"/>
        </w:numPr>
        <w:bidi w:val="0"/>
        <w:spacing w:before="140" w:after="120"/>
        <w:ind w:hanging="0" w:left="0"/>
        <w:jc w:val="left"/>
        <w:rPr/>
      </w:pPr>
      <w:r>
        <w:rPr/>
        <w:t>Step 9: Know the Limitations and Legal Considerations</w:t>
      </w:r>
    </w:p>
    <w:p>
      <w:pPr>
        <w:pStyle w:val="BodyText"/>
        <w:bidi w:val="0"/>
        <w:spacing w:before="0" w:after="283"/>
        <w:jc w:val="left"/>
        <w:rPr/>
      </w:pPr>
      <w:r>
        <w:rPr>
          <w:rStyle w:val="Strong"/>
        </w:rPr>
        <w:t>Virtual office for GST registration</w:t>
      </w:r>
      <w:r>
        <w:rPr/>
        <w:t xml:space="preserve"> is a legitimate method of obtaining a business address for tax and communication purposes. However, it does not allow physical business activities like customer walk-ins, inventory storage, or shop operations.</w:t>
      </w:r>
    </w:p>
    <w:p>
      <w:pPr>
        <w:pStyle w:val="BodyText"/>
        <w:bidi w:val="0"/>
        <w:spacing w:before="0" w:after="283"/>
        <w:jc w:val="left"/>
        <w:rPr/>
      </w:pPr>
      <w:r>
        <w:rPr/>
        <w:t>Attempting to conduct such activities may lead to non-compliance or rejection during inspections. Make sure your business model is suitable for a virtual setup before proceeding.</w:t>
      </w:r>
    </w:p>
    <w:p>
      <w:pPr>
        <w:pStyle w:val="Heading3"/>
        <w:numPr>
          <w:ilvl w:val="0"/>
          <w:numId w:val="0"/>
        </w:numPr>
        <w:bidi w:val="0"/>
        <w:spacing w:before="140" w:after="120"/>
        <w:ind w:hanging="0" w:left="0"/>
        <w:jc w:val="left"/>
        <w:rPr/>
      </w:pPr>
      <w:r>
        <w:rPr/>
        <w:t>Step 10: Partner with a Service That Offers Ongoing Support</w:t>
      </w:r>
    </w:p>
    <w:p>
      <w:pPr>
        <w:pStyle w:val="BodyText"/>
        <w:bidi w:val="0"/>
        <w:spacing w:before="0" w:after="283"/>
        <w:jc w:val="left"/>
        <w:rPr/>
      </w:pPr>
      <w:r>
        <w:rPr>
          <w:rStyle w:val="Strong"/>
        </w:rPr>
        <w:t>Virtual office for GST registration</w:t>
      </w:r>
      <w:r>
        <w:rPr/>
        <w:t xml:space="preserve"> is not a one-time process—it often requires regular follow-ups, audit handling, or changes to the business structure. A reliable partner should provide:</w:t>
      </w:r>
    </w:p>
    <w:p>
      <w:pPr>
        <w:pStyle w:val="BodyText"/>
        <w:numPr>
          <w:ilvl w:val="0"/>
          <w:numId w:val="4"/>
        </w:numPr>
        <w:tabs>
          <w:tab w:val="clear" w:pos="1134"/>
          <w:tab w:val="left" w:pos="709" w:leader="none"/>
        </w:tabs>
        <w:bidi w:val="0"/>
        <w:ind w:hanging="283" w:left="709"/>
        <w:jc w:val="left"/>
        <w:rPr/>
      </w:pPr>
      <w:r>
        <w:rPr/>
        <w:t>GST officer liaison</w:t>
      </w:r>
    </w:p>
    <w:p>
      <w:pPr>
        <w:pStyle w:val="BodyText"/>
        <w:numPr>
          <w:ilvl w:val="0"/>
          <w:numId w:val="4"/>
        </w:numPr>
        <w:tabs>
          <w:tab w:val="clear" w:pos="1134"/>
          <w:tab w:val="left" w:pos="709" w:leader="none"/>
        </w:tabs>
        <w:bidi w:val="0"/>
        <w:ind w:hanging="283" w:left="709"/>
        <w:jc w:val="left"/>
        <w:rPr/>
      </w:pPr>
      <w:r>
        <w:rPr/>
        <w:t>APOB updates for new warehouses</w:t>
      </w:r>
    </w:p>
    <w:p>
      <w:pPr>
        <w:pStyle w:val="BodyText"/>
        <w:numPr>
          <w:ilvl w:val="0"/>
          <w:numId w:val="4"/>
        </w:numPr>
        <w:tabs>
          <w:tab w:val="clear" w:pos="1134"/>
          <w:tab w:val="left" w:pos="709" w:leader="none"/>
        </w:tabs>
        <w:bidi w:val="0"/>
        <w:ind w:hanging="283" w:left="709"/>
        <w:jc w:val="left"/>
        <w:rPr/>
      </w:pPr>
      <w:r>
        <w:rPr/>
        <w:t>Support for queries, notices, and re-inspections</w:t>
      </w:r>
    </w:p>
    <w:p>
      <w:pPr>
        <w:pStyle w:val="BodyText"/>
        <w:numPr>
          <w:ilvl w:val="0"/>
          <w:numId w:val="4"/>
        </w:numPr>
        <w:tabs>
          <w:tab w:val="clear" w:pos="1134"/>
          <w:tab w:val="left" w:pos="709" w:leader="none"/>
        </w:tabs>
        <w:bidi w:val="0"/>
        <w:ind w:hanging="283" w:left="709"/>
        <w:jc w:val="left"/>
        <w:rPr/>
      </w:pPr>
      <w:r>
        <w:rPr/>
        <w:t>End-to-end compliance assistance</w:t>
      </w:r>
    </w:p>
    <w:p>
      <w:pPr>
        <w:pStyle w:val="BodyText"/>
        <w:bidi w:val="0"/>
        <w:spacing w:before="0" w:after="283"/>
        <w:jc w:val="left"/>
        <w:rPr/>
      </w:pPr>
      <w:r>
        <w:rPr/>
        <w:t>Choose a provider who offers transparent pricing and support beyond just</w:t>
      </w:r>
    </w:p>
    <w:p>
      <w:pPr>
        <w:pStyle w:val="BodyText"/>
        <w:bidi w:val="0"/>
        <w:spacing w:before="0" w:after="283"/>
        <w:jc w:val="left"/>
        <w:rPr/>
      </w:pPr>
      <w:r>
        <w:rPr/>
        <w:t>documentation.</w:t>
      </w:r>
    </w:p>
    <w:p>
      <w:pPr>
        <w:pStyle w:val="Heading2"/>
        <w:numPr>
          <w:ilvl w:val="0"/>
          <w:numId w:val="0"/>
        </w:numPr>
        <w:bidi w:val="0"/>
        <w:spacing w:before="200" w:after="120"/>
        <w:ind w:hanging="0" w:left="0"/>
        <w:jc w:val="left"/>
        <w:rPr/>
      </w:pPr>
      <w:r>
        <w:rPr/>
        <w:t>Final Thoughts</w:t>
      </w:r>
    </w:p>
    <w:p>
      <w:pPr>
        <w:pStyle w:val="BodyText"/>
        <w:bidi w:val="0"/>
        <w:spacing w:before="0" w:after="283"/>
        <w:jc w:val="left"/>
        <w:rPr/>
      </w:pPr>
      <w:r>
        <w:rPr>
          <w:rStyle w:val="Strong"/>
        </w:rPr>
        <w:t>Virtual office for GST registration</w:t>
      </w:r>
      <w:r>
        <w:rPr/>
        <w:t xml:space="preserve"> is an efficient and cost-effective solution for modern businesses seeking to expand across India. With the right service provider, complete documentation, and strict adherence to legal requirements, your business can benefit from multi-state operations without incurring significant costs.</w:t>
      </w:r>
    </w:p>
    <w:p>
      <w:pPr>
        <w:pStyle w:val="BodyText"/>
        <w:bidi w:val="0"/>
        <w:spacing w:before="0" w:after="283"/>
        <w:jc w:val="left"/>
        <w:rPr/>
      </w:pPr>
      <w:r>
        <w:rPr/>
        <w:t>Whether you are an eCommerce seller, a consultant, or a service provider—leveraging a virtual office is a smart, compliant way to scale your business. Always prioritize compliance, accuracy, and transparency throughout the process.</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Noto Sans">
    <w:charset w:val="01"/>
    <w:family w:val="swiss"/>
    <w:pitch w:val="variable"/>
  </w:font>
  <w:font w:name="DejaVu Serif">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DejaVu Serif" w:hAnsi="DejaVu Serif" w:eastAsia="DejaVu Sans" w:cs="DejaVu Sans"/>
      <w:color w:val="auto"/>
      <w:kern w:val="0"/>
      <w:sz w:val="24"/>
      <w:szCs w:val="24"/>
      <w:lang w:val="en-US" w:eastAsia="zh-CN" w:bidi="hi-IN"/>
    </w:rPr>
  </w:style>
  <w:style w:type="paragraph" w:styleId="Heading1">
    <w:name w:val="Heading 1"/>
    <w:basedOn w:val="Heading"/>
    <w:next w:val="BodyText"/>
    <w:qFormat/>
    <w:pPr/>
    <w:rPr>
      <w:rFonts w:ascii="Noto Sans" w:hAnsi="Noto Sans"/>
      <w:b/>
      <w:bCs/>
      <w:sz w:val="48"/>
      <w:szCs w:val="44"/>
    </w:rPr>
  </w:style>
  <w:style w:type="paragraph" w:styleId="Heading2">
    <w:name w:val="Heading 2"/>
    <w:basedOn w:val="Heading"/>
    <w:next w:val="BodyText"/>
    <w:qFormat/>
    <w:pPr>
      <w:numPr>
        <w:ilvl w:val="0"/>
        <w:numId w:val="0"/>
      </w:numPr>
      <w:spacing w:before="200" w:after="120"/>
      <w:outlineLvl w:val="1"/>
    </w:pPr>
    <w:rPr>
      <w:rFonts w:ascii="DejaVu Serif" w:hAnsi="DejaVu Serif" w:eastAsia="DejaVu Sans" w:cs="DejaVu Sans"/>
      <w:b/>
      <w:bCs/>
      <w:sz w:val="36"/>
      <w:szCs w:val="36"/>
    </w:rPr>
  </w:style>
  <w:style w:type="paragraph" w:styleId="Heading3">
    <w:name w:val="Heading 3"/>
    <w:basedOn w:val="Heading"/>
    <w:next w:val="BodyText"/>
    <w:qFormat/>
    <w:pPr>
      <w:numPr>
        <w:ilvl w:val="0"/>
        <w:numId w:val="0"/>
      </w:numPr>
      <w:spacing w:before="140" w:after="120"/>
      <w:outlineLvl w:val="2"/>
    </w:pPr>
    <w:rPr>
      <w:rFonts w:ascii="DejaVu Serif" w:hAnsi="DejaVu Serif" w:eastAsia="DejaVu Sans" w:cs="DejaVu Sans"/>
      <w:b/>
      <w:bCs/>
      <w:sz w:val="28"/>
      <w:szCs w:val="2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283"/>
    </w:pPr>
    <w:rPr>
      <w:rFonts w:ascii="Liberation Sans" w:hAnsi="Liberation Sans"/>
      <w:sz w:val="28"/>
      <w:szCs w:val="28"/>
    </w:rPr>
  </w:style>
  <w:style w:type="paragraph" w:styleId="BodyText">
    <w:name w:val="Body Text"/>
    <w:basedOn w:val="Normal"/>
    <w:pPr>
      <w:spacing w:before="0" w:after="283"/>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gstco.com/products/virtual-office-for-gst-registration" TargetMode="External"/><Relationship Id="rId3" Type="http://schemas.openxmlformats.org/officeDocument/2006/relationships/hyperlink" Target="https://thegstco.com/products/virtual-office-for-gst-registra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LibreOffice/24.2.4.2$Linux_X86_64 LibreOffice_project/420$Build-2</Application>
  <AppVersion>15.0000</AppVersion>
  <Pages>4</Pages>
  <Words>1155</Words>
  <Characters>6604</Characters>
  <CharactersWithSpaces>7685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2025-04-09T15:08:02Z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