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DE" w:rsidRPr="00A76152" w:rsidRDefault="00A76152" w:rsidP="004C3FCD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A76152">
        <w:rPr>
          <w:b/>
          <w:sz w:val="44"/>
          <w:szCs w:val="44"/>
        </w:rPr>
        <w:t>Evaluation Portfolio</w:t>
      </w:r>
    </w:p>
    <w:p w:rsidR="004C3FCD" w:rsidRDefault="004C3FCD" w:rsidP="004C3FCD">
      <w:pPr>
        <w:jc w:val="center"/>
        <w:rPr>
          <w:b/>
          <w:sz w:val="36"/>
          <w:szCs w:val="36"/>
        </w:rPr>
      </w:pPr>
    </w:p>
    <w:p w:rsidR="00A76152" w:rsidRDefault="00A76152" w:rsidP="004C3FCD">
      <w:pPr>
        <w:jc w:val="center"/>
        <w:rPr>
          <w:b/>
          <w:sz w:val="36"/>
          <w:szCs w:val="36"/>
        </w:rPr>
      </w:pPr>
    </w:p>
    <w:p w:rsidR="004C3FCD" w:rsidRDefault="004C3FCD" w:rsidP="004C3FCD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Objective:</w:t>
      </w:r>
    </w:p>
    <w:p w:rsidR="004C3FCD" w:rsidRDefault="004C3FCD" w:rsidP="004C3FCD">
      <w:pPr>
        <w:rPr>
          <w:sz w:val="36"/>
          <w:szCs w:val="36"/>
        </w:rPr>
      </w:pPr>
      <w:r>
        <w:rPr>
          <w:sz w:val="36"/>
          <w:szCs w:val="36"/>
        </w:rPr>
        <w:t xml:space="preserve">To do analysis </w:t>
      </w:r>
      <w:r w:rsidR="00A76152">
        <w:rPr>
          <w:sz w:val="36"/>
          <w:szCs w:val="36"/>
        </w:rPr>
        <w:t>for the</w:t>
      </w:r>
      <w:r>
        <w:rPr>
          <w:sz w:val="36"/>
          <w:szCs w:val="36"/>
        </w:rPr>
        <w:t xml:space="preserve"> top 5 IIT’s based on its intake,</w:t>
      </w:r>
      <w:r w:rsidR="00AD3F8B">
        <w:rPr>
          <w:sz w:val="36"/>
          <w:szCs w:val="36"/>
        </w:rPr>
        <w:t xml:space="preserve">   </w:t>
      </w:r>
      <w:r w:rsidR="00A76152">
        <w:rPr>
          <w:sz w:val="36"/>
          <w:szCs w:val="36"/>
        </w:rPr>
        <w:t>placement, funding</w:t>
      </w:r>
      <w:r>
        <w:rPr>
          <w:sz w:val="36"/>
          <w:szCs w:val="36"/>
        </w:rPr>
        <w:t xml:space="preserve"> and spending pattern for the years 2017 to 2020.</w:t>
      </w:r>
    </w:p>
    <w:p w:rsidR="004C3FCD" w:rsidRDefault="004C3FCD" w:rsidP="004C3FCD">
      <w:pPr>
        <w:rPr>
          <w:sz w:val="36"/>
          <w:szCs w:val="36"/>
        </w:rPr>
      </w:pPr>
    </w:p>
    <w:p w:rsidR="004C3FCD" w:rsidRDefault="004C3FCD" w:rsidP="004C3FCD">
      <w:pPr>
        <w:rPr>
          <w:sz w:val="36"/>
          <w:szCs w:val="36"/>
        </w:rPr>
      </w:pPr>
      <w:r w:rsidRPr="00AD3F8B">
        <w:rPr>
          <w:b/>
          <w:sz w:val="36"/>
          <w:szCs w:val="36"/>
        </w:rPr>
        <w:t>Theory</w:t>
      </w:r>
      <w:r>
        <w:rPr>
          <w:sz w:val="36"/>
          <w:szCs w:val="36"/>
        </w:rPr>
        <w:t>:</w:t>
      </w:r>
    </w:p>
    <w:p w:rsidR="004C3FCD" w:rsidRDefault="00F57115" w:rsidP="004C3FCD">
      <w:pPr>
        <w:rPr>
          <w:sz w:val="36"/>
          <w:szCs w:val="36"/>
        </w:rPr>
      </w:pPr>
      <w:r>
        <w:rPr>
          <w:sz w:val="36"/>
          <w:szCs w:val="36"/>
        </w:rPr>
        <w:t xml:space="preserve">Data of UG 4yrs course for the </w:t>
      </w:r>
      <w:r w:rsidR="004C3FCD">
        <w:rPr>
          <w:sz w:val="36"/>
          <w:szCs w:val="36"/>
        </w:rPr>
        <w:t xml:space="preserve">top 5 IIT’s </w:t>
      </w:r>
      <w:r>
        <w:rPr>
          <w:sz w:val="36"/>
          <w:szCs w:val="36"/>
        </w:rPr>
        <w:t>was done. It was segregated and written in Ms Excel which w</w:t>
      </w:r>
      <w:r w:rsidR="00A76152">
        <w:rPr>
          <w:sz w:val="36"/>
          <w:szCs w:val="36"/>
        </w:rPr>
        <w:t>as later used for v</w:t>
      </w:r>
      <w:r w:rsidR="00A76152" w:rsidRPr="00A76152">
        <w:rPr>
          <w:sz w:val="36"/>
          <w:szCs w:val="36"/>
        </w:rPr>
        <w:t>isualization</w:t>
      </w:r>
      <w:r>
        <w:rPr>
          <w:sz w:val="36"/>
          <w:szCs w:val="36"/>
        </w:rPr>
        <w:t>.</w:t>
      </w:r>
    </w:p>
    <w:p w:rsidR="00F57115" w:rsidRDefault="00F57115" w:rsidP="004C3FCD">
      <w:pPr>
        <w:rPr>
          <w:sz w:val="36"/>
          <w:szCs w:val="36"/>
        </w:rPr>
      </w:pPr>
      <w:r>
        <w:rPr>
          <w:sz w:val="36"/>
          <w:szCs w:val="36"/>
        </w:rPr>
        <w:t>Top 5 IIT’s</w:t>
      </w:r>
    </w:p>
    <w:p w:rsidR="004C3FCD" w:rsidRDefault="004C3FCD" w:rsidP="004C3FC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IIT Madras</w:t>
      </w:r>
    </w:p>
    <w:p w:rsidR="004C3FCD" w:rsidRDefault="004C3FCD" w:rsidP="004C3FC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IIT Delhi</w:t>
      </w:r>
    </w:p>
    <w:p w:rsidR="004C3FCD" w:rsidRDefault="004C3FCD" w:rsidP="004C3FC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IIT Bombay</w:t>
      </w:r>
    </w:p>
    <w:p w:rsidR="004C3FCD" w:rsidRDefault="004C3FCD" w:rsidP="004C3FC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IIT Kanpur</w:t>
      </w:r>
    </w:p>
    <w:p w:rsidR="004C3FCD" w:rsidRPr="004C3FCD" w:rsidRDefault="004C3FCD" w:rsidP="004C3FC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IIT Kharagpur </w:t>
      </w:r>
    </w:p>
    <w:p w:rsidR="004C3FCD" w:rsidRDefault="004C3FCD" w:rsidP="004C3FCD">
      <w:pPr>
        <w:rPr>
          <w:sz w:val="36"/>
          <w:szCs w:val="36"/>
        </w:rPr>
      </w:pPr>
    </w:p>
    <w:p w:rsidR="004C3FCD" w:rsidRDefault="004C3FCD" w:rsidP="004C3FCD">
      <w:pPr>
        <w:rPr>
          <w:sz w:val="36"/>
          <w:szCs w:val="36"/>
        </w:rPr>
      </w:pPr>
      <w:r w:rsidRPr="00AD3F8B">
        <w:rPr>
          <w:b/>
          <w:sz w:val="36"/>
          <w:szCs w:val="36"/>
        </w:rPr>
        <w:t>Tools</w:t>
      </w:r>
      <w:r>
        <w:rPr>
          <w:sz w:val="36"/>
          <w:szCs w:val="36"/>
        </w:rPr>
        <w:t>:</w:t>
      </w:r>
    </w:p>
    <w:p w:rsidR="004C3FCD" w:rsidRDefault="004C3FCD" w:rsidP="004C3FC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Ms Excel</w:t>
      </w:r>
    </w:p>
    <w:p w:rsidR="004C3FCD" w:rsidRDefault="004C3FCD" w:rsidP="004C3FC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Tableau </w:t>
      </w:r>
    </w:p>
    <w:p w:rsidR="004C3FCD" w:rsidRPr="004C3FCD" w:rsidRDefault="004C3FCD" w:rsidP="004C3FCD">
      <w:pPr>
        <w:pStyle w:val="ListParagraph"/>
        <w:rPr>
          <w:sz w:val="36"/>
          <w:szCs w:val="36"/>
        </w:rPr>
      </w:pPr>
    </w:p>
    <w:p w:rsidR="00AD3F8B" w:rsidRDefault="00AD3F8B" w:rsidP="004C3FCD">
      <w:pPr>
        <w:rPr>
          <w:sz w:val="36"/>
          <w:szCs w:val="36"/>
        </w:rPr>
      </w:pPr>
    </w:p>
    <w:p w:rsidR="004C3FCD" w:rsidRDefault="004C3FCD" w:rsidP="004C3FCD">
      <w:pPr>
        <w:rPr>
          <w:sz w:val="36"/>
          <w:szCs w:val="36"/>
        </w:rPr>
      </w:pPr>
      <w:r w:rsidRPr="00AD3F8B">
        <w:rPr>
          <w:b/>
          <w:sz w:val="36"/>
          <w:szCs w:val="36"/>
        </w:rPr>
        <w:t>Analysis</w:t>
      </w:r>
      <w:r w:rsidR="00AD3F8B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:rsidR="00AD3F8B" w:rsidRDefault="00AD3F8B" w:rsidP="004C3FCD">
      <w:pPr>
        <w:rPr>
          <w:sz w:val="36"/>
          <w:szCs w:val="36"/>
        </w:rPr>
      </w:pPr>
    </w:p>
    <w:p w:rsidR="004C3FCD" w:rsidRPr="00AD3F8B" w:rsidRDefault="00A76152" w:rsidP="004C3FC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D3F8B">
        <w:rPr>
          <w:b/>
          <w:sz w:val="32"/>
          <w:szCs w:val="32"/>
        </w:rPr>
        <w:t>Intake</w:t>
      </w:r>
      <w:r w:rsidR="004C3FCD" w:rsidRPr="00AD3F8B">
        <w:rPr>
          <w:b/>
          <w:sz w:val="32"/>
          <w:szCs w:val="32"/>
        </w:rPr>
        <w:t xml:space="preserve"> to Placement </w:t>
      </w:r>
    </w:p>
    <w:p w:rsidR="004C3FCD" w:rsidRPr="00AD3F8B" w:rsidRDefault="004C3FCD" w:rsidP="004C3FC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3F8B">
        <w:rPr>
          <w:sz w:val="28"/>
          <w:szCs w:val="28"/>
        </w:rPr>
        <w:t>Data from the year 2014 to 2020 was taken.</w:t>
      </w:r>
    </w:p>
    <w:p w:rsidR="004C3FCD" w:rsidRPr="00AD3F8B" w:rsidRDefault="004C3FCD" w:rsidP="004C3FC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3F8B">
        <w:rPr>
          <w:sz w:val="28"/>
          <w:szCs w:val="28"/>
        </w:rPr>
        <w:t xml:space="preserve">Pie charts were used to show the no. of </w:t>
      </w:r>
      <w:r w:rsidR="00A76152" w:rsidRPr="00AD3F8B">
        <w:rPr>
          <w:sz w:val="28"/>
          <w:szCs w:val="28"/>
        </w:rPr>
        <w:t>student’s</w:t>
      </w:r>
      <w:r w:rsidRPr="00AD3F8B">
        <w:rPr>
          <w:sz w:val="28"/>
          <w:szCs w:val="28"/>
        </w:rPr>
        <w:t xml:space="preserve"> intake to </w:t>
      </w:r>
      <w:r w:rsidR="00A76152" w:rsidRPr="00AD3F8B">
        <w:rPr>
          <w:sz w:val="28"/>
          <w:szCs w:val="28"/>
        </w:rPr>
        <w:t>placement in</w:t>
      </w:r>
      <w:r w:rsidRPr="00AD3F8B">
        <w:rPr>
          <w:sz w:val="28"/>
          <w:szCs w:val="28"/>
        </w:rPr>
        <w:t xml:space="preserve"> each year.</w:t>
      </w:r>
    </w:p>
    <w:p w:rsidR="004C3FCD" w:rsidRDefault="00A76152" w:rsidP="004C3FC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D3F8B">
        <w:rPr>
          <w:sz w:val="28"/>
          <w:szCs w:val="28"/>
        </w:rPr>
        <w:t>Visualization</w:t>
      </w:r>
      <w:r w:rsidR="004C3FC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hyperlink r:id="rId6" w:history="1">
        <w:r w:rsidRPr="00A76152">
          <w:rPr>
            <w:rStyle w:val="Hyperlink"/>
            <w:sz w:val="36"/>
            <w:szCs w:val="36"/>
          </w:rPr>
          <w:t>Intake Vs. Placement</w:t>
        </w:r>
      </w:hyperlink>
      <w:r>
        <w:rPr>
          <w:sz w:val="36"/>
          <w:szCs w:val="36"/>
        </w:rPr>
        <w:t xml:space="preserve"> </w:t>
      </w:r>
    </w:p>
    <w:p w:rsidR="004C3FCD" w:rsidRDefault="004C3FCD" w:rsidP="004C3FCD">
      <w:pPr>
        <w:pStyle w:val="ListParagraph"/>
        <w:rPr>
          <w:sz w:val="36"/>
          <w:szCs w:val="36"/>
        </w:rPr>
      </w:pPr>
    </w:p>
    <w:p w:rsidR="00FD453E" w:rsidRDefault="004C3FCD" w:rsidP="004C3FCD">
      <w:pPr>
        <w:rPr>
          <w:noProof/>
        </w:rPr>
      </w:pPr>
      <w:r w:rsidRPr="004C3FCD">
        <w:rPr>
          <w:sz w:val="36"/>
          <w:szCs w:val="36"/>
        </w:rPr>
        <w:t xml:space="preserve"> </w:t>
      </w:r>
    </w:p>
    <w:p w:rsidR="004C3FCD" w:rsidRPr="004C3FCD" w:rsidRDefault="00FD453E" w:rsidP="004C3FC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9AA595" wp14:editId="27D3EA53">
            <wp:extent cx="64103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53" t="21953" r="11057" b="4371"/>
                    <a:stretch/>
                  </pic:blipFill>
                  <pic:spPr bwMode="auto">
                    <a:xfrm>
                      <a:off x="0" y="0"/>
                      <a:ext cx="641032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FCD" w:rsidRDefault="004C3FCD" w:rsidP="004C3FCD">
      <w:pPr>
        <w:rPr>
          <w:sz w:val="36"/>
          <w:szCs w:val="36"/>
        </w:rPr>
      </w:pPr>
    </w:p>
    <w:p w:rsidR="005F1BE5" w:rsidRDefault="005F1BE5" w:rsidP="004C3FCD">
      <w:pPr>
        <w:rPr>
          <w:sz w:val="36"/>
          <w:szCs w:val="36"/>
        </w:rPr>
      </w:pPr>
    </w:p>
    <w:p w:rsidR="005F1BE5" w:rsidRDefault="005F1BE5" w:rsidP="004C3FCD">
      <w:pPr>
        <w:rPr>
          <w:sz w:val="36"/>
          <w:szCs w:val="36"/>
        </w:rPr>
      </w:pPr>
    </w:p>
    <w:p w:rsidR="00FD453E" w:rsidRPr="00AD3F8B" w:rsidRDefault="00AD3F8B" w:rsidP="00FD45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D3F8B">
        <w:rPr>
          <w:sz w:val="36"/>
          <w:szCs w:val="36"/>
        </w:rPr>
        <w:lastRenderedPageBreak/>
        <w:t>Analysis made</w:t>
      </w:r>
    </w:p>
    <w:p w:rsidR="00F57115" w:rsidRPr="005F1BE5" w:rsidRDefault="00F57115" w:rsidP="00F57115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28"/>
          <w:szCs w:val="28"/>
        </w:rPr>
        <w:t xml:space="preserve">IIT </w:t>
      </w:r>
      <w:r w:rsidR="00A76152">
        <w:rPr>
          <w:sz w:val="28"/>
          <w:szCs w:val="28"/>
        </w:rPr>
        <w:t>Kanpur has</w:t>
      </w:r>
      <w:r w:rsidR="00FD453E">
        <w:rPr>
          <w:sz w:val="28"/>
          <w:szCs w:val="28"/>
        </w:rPr>
        <w:t xml:space="preserve"> the highest intake</w:t>
      </w:r>
      <w:r>
        <w:rPr>
          <w:sz w:val="28"/>
          <w:szCs w:val="28"/>
        </w:rPr>
        <w:t xml:space="preserve"> every year but the placement rate </w:t>
      </w:r>
      <w:r w:rsidR="00A76152">
        <w:rPr>
          <w:sz w:val="28"/>
          <w:szCs w:val="28"/>
        </w:rPr>
        <w:t>up to</w:t>
      </w:r>
      <w:r>
        <w:rPr>
          <w:sz w:val="28"/>
          <w:szCs w:val="28"/>
        </w:rPr>
        <w:t xml:space="preserve"> 2017 was good but due to certain reasons as higher studies or backlog the placement rate dropped down drastically.</w:t>
      </w:r>
    </w:p>
    <w:p w:rsidR="00F57115" w:rsidRPr="00F57115" w:rsidRDefault="00F57115" w:rsidP="00FD453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28"/>
          <w:szCs w:val="28"/>
        </w:rPr>
        <w:t xml:space="preserve">IIT Kharagpur the intake rate was constant up to 2017-18 after which there was an increase in </w:t>
      </w:r>
      <w:proofErr w:type="spellStart"/>
      <w:r w:rsidR="00A76152"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which could have been because of the high demand. Placement rate was had dropped in the </w:t>
      </w:r>
      <w:r w:rsidR="00A76152">
        <w:rPr>
          <w:sz w:val="28"/>
          <w:szCs w:val="28"/>
        </w:rPr>
        <w:t>year</w:t>
      </w:r>
      <w:r>
        <w:rPr>
          <w:sz w:val="28"/>
          <w:szCs w:val="28"/>
        </w:rPr>
        <w:t xml:space="preserve"> 2017-18.</w:t>
      </w:r>
    </w:p>
    <w:p w:rsidR="00F57115" w:rsidRDefault="00F57115" w:rsidP="00FD45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57115">
        <w:rPr>
          <w:sz w:val="28"/>
          <w:szCs w:val="28"/>
        </w:rPr>
        <w:t>IIT Delhi</w:t>
      </w:r>
      <w:r>
        <w:rPr>
          <w:sz w:val="28"/>
          <w:szCs w:val="28"/>
        </w:rPr>
        <w:t xml:space="preserve"> intake rate constant up till 2020 which could have been due to increase in demand or the addition of new courses and placement rate dropped again after 2017.</w:t>
      </w:r>
    </w:p>
    <w:p w:rsidR="00F57115" w:rsidRDefault="00F57115" w:rsidP="00FD45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IIT Bom</w:t>
      </w:r>
      <w:r w:rsidR="00A76152">
        <w:rPr>
          <w:sz w:val="28"/>
          <w:szCs w:val="28"/>
        </w:rPr>
        <w:t xml:space="preserve">bay intake is never constant </w:t>
      </w:r>
      <w:r>
        <w:rPr>
          <w:sz w:val="28"/>
          <w:szCs w:val="28"/>
        </w:rPr>
        <w:t xml:space="preserve"> but </w:t>
      </w:r>
      <w:r w:rsidR="00A76152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limit up to 800 students per year is kept </w:t>
      </w:r>
      <w:r w:rsidR="003869D5">
        <w:rPr>
          <w:sz w:val="28"/>
          <w:szCs w:val="28"/>
        </w:rPr>
        <w:t>and placement pattern is the same for this university as all the above.</w:t>
      </w:r>
    </w:p>
    <w:p w:rsidR="003869D5" w:rsidRDefault="003869D5" w:rsidP="00FD45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IIT Madras had a fixed intake up till 2018 after which drastic increases has been noted and placement rate drop is the s</w:t>
      </w:r>
      <w:r w:rsidR="00A76152">
        <w:rPr>
          <w:sz w:val="28"/>
          <w:szCs w:val="28"/>
        </w:rPr>
        <w:t>ame as for the above universities</w:t>
      </w:r>
      <w:r>
        <w:rPr>
          <w:sz w:val="28"/>
          <w:szCs w:val="28"/>
        </w:rPr>
        <w:t>.</w:t>
      </w:r>
    </w:p>
    <w:p w:rsidR="003869D5" w:rsidRDefault="003869D5" w:rsidP="00FD45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From this conclusion made is that most of students preferred higher studies or off campus placement after after the year 2017.</w:t>
      </w:r>
    </w:p>
    <w:p w:rsidR="003869D5" w:rsidRDefault="003869D5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93191D" w:rsidRDefault="0093191D" w:rsidP="003869D5">
      <w:pPr>
        <w:pStyle w:val="ListParagraph"/>
        <w:ind w:left="1605"/>
        <w:rPr>
          <w:sz w:val="28"/>
          <w:szCs w:val="28"/>
        </w:rPr>
      </w:pPr>
    </w:p>
    <w:p w:rsidR="003869D5" w:rsidRPr="00AD3F8B" w:rsidRDefault="003869D5" w:rsidP="003869D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D3F8B">
        <w:rPr>
          <w:b/>
          <w:sz w:val="32"/>
          <w:szCs w:val="32"/>
        </w:rPr>
        <w:t>Funding to Expenditure</w:t>
      </w:r>
    </w:p>
    <w:p w:rsidR="003869D5" w:rsidRDefault="003869D5" w:rsidP="003869D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Data from the year 2017 to 2020 was taken.</w:t>
      </w:r>
    </w:p>
    <w:p w:rsidR="003869D5" w:rsidRDefault="003869D5" w:rsidP="003869D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Bar plots are used to show the highest funding to expenditure for each IIT in the given year.</w:t>
      </w:r>
    </w:p>
    <w:p w:rsidR="003869D5" w:rsidRDefault="00A76152" w:rsidP="00AD3F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Visualization</w:t>
      </w:r>
      <w:r w:rsidR="00AD3F8B">
        <w:rPr>
          <w:sz w:val="28"/>
          <w:szCs w:val="28"/>
        </w:rPr>
        <w:t xml:space="preserve"> - </w:t>
      </w:r>
      <w:hyperlink r:id="rId8" w:history="1">
        <w:r w:rsidRPr="00A76152">
          <w:rPr>
            <w:rStyle w:val="Hyperlink"/>
            <w:sz w:val="28"/>
            <w:szCs w:val="28"/>
          </w:rPr>
          <w:t>Expenditure Vs. Funding</w:t>
        </w:r>
      </w:hyperlink>
    </w:p>
    <w:p w:rsidR="0093191D" w:rsidRPr="00AD3F8B" w:rsidRDefault="0093191D" w:rsidP="00AD3F8B">
      <w:pPr>
        <w:ind w:left="1080"/>
        <w:rPr>
          <w:sz w:val="28"/>
          <w:szCs w:val="28"/>
        </w:rPr>
      </w:pPr>
    </w:p>
    <w:p w:rsidR="0093191D" w:rsidRDefault="0093191D" w:rsidP="0093191D">
      <w:pPr>
        <w:pStyle w:val="ListParagraph"/>
        <w:ind w:left="1440"/>
        <w:rPr>
          <w:noProof/>
        </w:rPr>
      </w:pPr>
    </w:p>
    <w:p w:rsidR="0093191D" w:rsidRDefault="0093191D" w:rsidP="005F1BE5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60A591" wp14:editId="0F4B2E02">
            <wp:extent cx="54102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5" t="21910" r="1468" b="12079"/>
                    <a:stretch/>
                  </pic:blipFill>
                  <pic:spPr bwMode="auto">
                    <a:xfrm>
                      <a:off x="0" y="0"/>
                      <a:ext cx="541020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9D5" w:rsidRDefault="003869D5" w:rsidP="003869D5">
      <w:pPr>
        <w:pStyle w:val="ListParagraph"/>
        <w:ind w:left="1440"/>
        <w:rPr>
          <w:sz w:val="28"/>
          <w:szCs w:val="28"/>
        </w:rPr>
      </w:pPr>
    </w:p>
    <w:p w:rsidR="00AD3F8B" w:rsidRPr="005F1BE5" w:rsidRDefault="00AD3F8B" w:rsidP="005F1BE5">
      <w:pPr>
        <w:rPr>
          <w:sz w:val="28"/>
          <w:szCs w:val="28"/>
        </w:rPr>
      </w:pPr>
    </w:p>
    <w:p w:rsidR="00AD3F8B" w:rsidRPr="003869D5" w:rsidRDefault="00AD3F8B" w:rsidP="003869D5">
      <w:pPr>
        <w:pStyle w:val="ListParagraph"/>
        <w:ind w:left="1440"/>
        <w:rPr>
          <w:sz w:val="28"/>
          <w:szCs w:val="28"/>
        </w:rPr>
      </w:pPr>
    </w:p>
    <w:p w:rsidR="003869D5" w:rsidRPr="00AD3F8B" w:rsidRDefault="0093191D" w:rsidP="0093191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AD3F8B">
        <w:rPr>
          <w:sz w:val="36"/>
          <w:szCs w:val="36"/>
        </w:rPr>
        <w:t>Analysis</w:t>
      </w:r>
      <w:r w:rsidR="00AD3F8B" w:rsidRPr="00AD3F8B">
        <w:rPr>
          <w:sz w:val="36"/>
          <w:szCs w:val="36"/>
        </w:rPr>
        <w:t xml:space="preserve"> made </w:t>
      </w:r>
      <w:r w:rsidRPr="00AD3F8B">
        <w:rPr>
          <w:sz w:val="36"/>
          <w:szCs w:val="36"/>
        </w:rPr>
        <w:t xml:space="preserve"> </w:t>
      </w:r>
    </w:p>
    <w:p w:rsidR="00AD3F8B" w:rsidRDefault="00AD3F8B" w:rsidP="00AD3F8B">
      <w:pPr>
        <w:pStyle w:val="ListParagraph"/>
        <w:ind w:left="1440"/>
        <w:rPr>
          <w:sz w:val="28"/>
          <w:szCs w:val="28"/>
        </w:rPr>
      </w:pPr>
    </w:p>
    <w:p w:rsidR="0093191D" w:rsidRDefault="002F7E0C" w:rsidP="00AD3F8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 the year 2017-18 IIT Madras had the highest funding even after having the least number of funding agency while IIT Delhi had the most expenditure having the maximum number of funding agency in.</w:t>
      </w:r>
    </w:p>
    <w:p w:rsidR="002F7E0C" w:rsidRDefault="002F7E0C" w:rsidP="00AD3F8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 the year 2018-19 IIT Madras had the highest funding even after having the least number of funding agency while IIT Delhi had the most expenditure having the a good number of funding agency in.</w:t>
      </w:r>
    </w:p>
    <w:p w:rsidR="002F7E0C" w:rsidRDefault="002F7E0C" w:rsidP="00AD3F8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 the year 2018-19 IIT Bombay had the highest number of funding agencies yet the least funding.</w:t>
      </w:r>
    </w:p>
    <w:p w:rsidR="002F7E0C" w:rsidRDefault="002F7E0C" w:rsidP="00AD3F8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For the year 2019-20 IIT Madras had the highest </w:t>
      </w:r>
      <w:r w:rsidR="00A76152">
        <w:rPr>
          <w:sz w:val="28"/>
          <w:szCs w:val="28"/>
        </w:rPr>
        <w:t>funding after</w:t>
      </w:r>
      <w:r>
        <w:rPr>
          <w:sz w:val="28"/>
          <w:szCs w:val="28"/>
        </w:rPr>
        <w:t xml:space="preserve"> having a </w:t>
      </w:r>
      <w:r w:rsidR="00A76152">
        <w:rPr>
          <w:sz w:val="28"/>
          <w:szCs w:val="28"/>
        </w:rPr>
        <w:t>good number</w:t>
      </w:r>
      <w:r>
        <w:rPr>
          <w:sz w:val="28"/>
          <w:szCs w:val="28"/>
        </w:rPr>
        <w:t xml:space="preserve"> of funding agency and it also had the highest expenditure.</w:t>
      </w:r>
    </w:p>
    <w:p w:rsidR="002F7E0C" w:rsidRDefault="002F7E0C" w:rsidP="00AD3F8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 the year 2019-20 IIT Delhi had maximum funding agencies yet least funding and IIT Kharagpur had least funding but amount equivalent to IIT Bombay and Delhi.</w:t>
      </w:r>
    </w:p>
    <w:p w:rsidR="002F7E0C" w:rsidRDefault="002F7E0C" w:rsidP="006F6EDF"/>
    <w:p w:rsidR="00AD3F8B" w:rsidRDefault="00AD3F8B" w:rsidP="006F6EDF"/>
    <w:p w:rsidR="00AD3F8B" w:rsidRDefault="00AD3F8B" w:rsidP="006F6EDF"/>
    <w:p w:rsidR="006F6EDF" w:rsidRPr="00AD3F8B" w:rsidRDefault="006F6EDF" w:rsidP="006F6EDF">
      <w:pPr>
        <w:rPr>
          <w:b/>
          <w:sz w:val="36"/>
          <w:szCs w:val="36"/>
        </w:rPr>
      </w:pPr>
      <w:r w:rsidRPr="00AD3F8B">
        <w:rPr>
          <w:b/>
          <w:sz w:val="36"/>
          <w:szCs w:val="36"/>
        </w:rPr>
        <w:t>Conclusion</w:t>
      </w:r>
      <w:r w:rsidR="00AD3F8B">
        <w:rPr>
          <w:b/>
          <w:sz w:val="36"/>
          <w:szCs w:val="36"/>
        </w:rPr>
        <w:t>:</w:t>
      </w:r>
      <w:r w:rsidRPr="00AD3F8B">
        <w:rPr>
          <w:b/>
          <w:sz w:val="36"/>
          <w:szCs w:val="36"/>
        </w:rPr>
        <w:t xml:space="preserve"> </w:t>
      </w:r>
    </w:p>
    <w:p w:rsidR="006F6EDF" w:rsidRPr="00AD3F8B" w:rsidRDefault="006F6EDF" w:rsidP="006F6ED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D3F8B">
        <w:rPr>
          <w:sz w:val="28"/>
          <w:szCs w:val="28"/>
        </w:rPr>
        <w:t xml:space="preserve">IIT Kanpur and IIT Delhi have the maximum student intake to placement ratio </w:t>
      </w:r>
    </w:p>
    <w:p w:rsidR="006F6EDF" w:rsidRPr="00AD3F8B" w:rsidRDefault="006F6EDF" w:rsidP="006F6ED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D3F8B">
        <w:rPr>
          <w:sz w:val="28"/>
          <w:szCs w:val="28"/>
        </w:rPr>
        <w:t>Expenditure of IIT Delhi is the most due to excess teaching as well as non-teaching staff.</w:t>
      </w:r>
    </w:p>
    <w:p w:rsidR="006F6EDF" w:rsidRPr="00AD3F8B" w:rsidRDefault="006F6EDF" w:rsidP="002F7E0C">
      <w:pPr>
        <w:pStyle w:val="ListParagraph"/>
        <w:ind w:left="2475"/>
        <w:rPr>
          <w:sz w:val="28"/>
          <w:szCs w:val="28"/>
        </w:rPr>
      </w:pPr>
    </w:p>
    <w:sectPr w:rsidR="006F6EDF" w:rsidRPr="00AD3F8B" w:rsidSect="004C3FC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5FE"/>
    <w:multiLevelType w:val="hybridMultilevel"/>
    <w:tmpl w:val="BDA27B4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>
    <w:nsid w:val="12EE7131"/>
    <w:multiLevelType w:val="hybridMultilevel"/>
    <w:tmpl w:val="86FC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14EAF"/>
    <w:multiLevelType w:val="hybridMultilevel"/>
    <w:tmpl w:val="C370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D1507"/>
    <w:multiLevelType w:val="hybridMultilevel"/>
    <w:tmpl w:val="DA8E364E"/>
    <w:lvl w:ilvl="0" w:tplc="43A6B3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62C55"/>
    <w:multiLevelType w:val="hybridMultilevel"/>
    <w:tmpl w:val="ADF06A4E"/>
    <w:lvl w:ilvl="0" w:tplc="43A6B3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10D1A"/>
    <w:multiLevelType w:val="hybridMultilevel"/>
    <w:tmpl w:val="8E68C29E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6">
    <w:nsid w:val="71C57431"/>
    <w:multiLevelType w:val="hybridMultilevel"/>
    <w:tmpl w:val="56045A2E"/>
    <w:lvl w:ilvl="0" w:tplc="43A6B3A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2D79D3"/>
    <w:multiLevelType w:val="hybridMultilevel"/>
    <w:tmpl w:val="B4F47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CD"/>
    <w:rsid w:val="002F7E0C"/>
    <w:rsid w:val="003869D5"/>
    <w:rsid w:val="004C3FCD"/>
    <w:rsid w:val="005F1BE5"/>
    <w:rsid w:val="006F6EDF"/>
    <w:rsid w:val="0093191D"/>
    <w:rsid w:val="00A76152"/>
    <w:rsid w:val="00AD3F8B"/>
    <w:rsid w:val="00B759DE"/>
    <w:rsid w:val="00B91919"/>
    <w:rsid w:val="00F57115"/>
    <w:rsid w:val="00FD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3C15A-14A6-4E81-B518-BA827ADF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IITExpenditureVsFunding1/Dashboard1?:language=en-US&amp;publish=yes&amp;:display_count=n&amp;:origin=viz_share_link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views/IITAnalysis/Dashboard1?:language=en-US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C654-6130-45EF-A7A0-C21264D8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2022-07-22T17:47:00Z</dcterms:created>
  <dcterms:modified xsi:type="dcterms:W3CDTF">2022-07-22T17:47:00Z</dcterms:modified>
</cp:coreProperties>
</file>