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REPORT</w:t>
      </w:r>
    </w:p>
    <w:p>
      <w:pPr>
        <w:jc w:val="center"/>
      </w:pPr>
      <w:r>
        <w:rPr>
          <w:i/>
          <w:sz w:val="20"/>
        </w:rPr>
        <w:t>Data Cleaning and Preliminary Analysis using R</w:t>
      </w:r>
    </w:p>
    <w:p>
      <w:pPr>
        <w:jc w:val="center"/>
      </w:pPr>
      <w:r>
        <w:rPr>
          <w:sz w:val="18"/>
        </w:rPr>
        <w:t>Dataset: Publicly available Telco Customer Churn dataset | Records: 7,043 | Target: Churn</w:t>
      </w:r>
    </w:p>
    <w:p/>
    <w:p>
      <w:pPr>
        <w:pStyle w:val="Heading1"/>
      </w:pPr>
      <w:r>
        <w:t>1. Dataset Overview</w:t>
      </w:r>
    </w:p>
    <w:p>
      <w:r>
        <w:t>This analysis uses a publicly available Telco Customer Churn dataset containing 7,043 customer records and 21 variables after cleaning. The dataset combines numerical variables such as tenure, MonthlyCharges and TotalCharges with categorical variables such as Contract, InternetService, PaymentMethod, OnlineSecurity and TechSupport. The objective was to prepare the dataset for reliable analysis by identifying data-quality issues, handling missing values, checking outliers, transforming variables and producing preliminary descriptive insights.</w:t>
      </w:r>
    </w:p>
    <w:p>
      <w:pPr>
        <w:pStyle w:val="Heading1"/>
      </w:pPr>
      <w:r>
        <w:t>2. Initial Structure and Data Quality</w:t>
      </w:r>
    </w:p>
    <w:p>
      <w:pPr>
        <w:pStyle w:val="NoSpacing"/>
        <w:spacing w:after="120"/>
        <w:ind w:left="360"/>
      </w:pPr>
      <w:r>
        <w:rPr>
          <w:rFonts w:ascii="Consolas" w:hAnsi="Consolas"/>
          <w:sz w:val="17"/>
        </w:rPr>
        <w:t>str(data)</w:t>
        <w:br/>
        <w:t>summary(data)</w:t>
        <w:br/>
        <w:t>colSums(is.na(data))</w:t>
      </w:r>
    </w:p>
    <w:p>
      <w:r>
        <w:rPr>
          <w:b/>
          <w:sz w:val="17"/>
        </w:rPr>
        <w:t>R OUTPUT</w:t>
        <w:br/>
      </w:r>
      <w:r>
        <w:rPr>
          <w:rFonts w:ascii="Consolas" w:hAnsi="Consolas"/>
          <w:sz w:val="17"/>
        </w:rPr>
        <w:t>Final cleaned dataset:</w:t>
        <w:br/>
        <w:t>Rows: 7043</w:t>
        <w:br/>
        <w:t>Columns: 21</w:t>
        <w:br/>
        <w:t>Target distribution: No = 5174, Yes = 1869</w:t>
        <w:br/>
        <w:t>Missing TotalCharges records identified: 11</w:t>
      </w:r>
    </w:p>
    <w:p>
      <w:pPr>
        <w:pStyle w:val="Heading1"/>
      </w:pPr>
      <w:r>
        <w:t>3. Missing-Value Investigation</w:t>
      </w:r>
    </w:p>
    <w:p>
      <w:r>
        <w:t>The missing-value investigation identified 11 missing TotalCharges values. All 11 records had tenure equal to 0 and Churn = No. This pattern indicates newly acquired customers with no accumulated service charges. Therefore, TotalCharges was converted to numeric and the missing values were treated as zero rather than removing the customers, preserving all 7,043 observations.</w:t>
      </w:r>
    </w:p>
    <w:p>
      <w:pPr>
        <w:pStyle w:val="NoSpacing"/>
        <w:spacing w:after="120"/>
        <w:ind w:left="360"/>
      </w:pPr>
      <w:r>
        <w:rPr>
          <w:rFonts w:ascii="Consolas" w:hAnsi="Consolas"/>
          <w:sz w:val="17"/>
        </w:rPr>
        <w:t>data[is.na(data$TotalCharges),</w:t>
        <w:br/>
        <w:t xml:space="preserve">     c("customerID","tenure","MonthlyCharges","TotalCharges","Churn")]</w:t>
        <w:br/>
        <w:br/>
        <w:t>data$TotalCharges &lt;- as.numeric(as.character(data$TotalCharges))</w:t>
        <w:br/>
        <w:t>data$TotalCharges[is.na(data$TotalCharges)] &lt;- 0</w:t>
      </w:r>
    </w:p>
    <w:p>
      <w:pPr>
        <w:pStyle w:val="Heading1"/>
      </w:pPr>
      <w:r>
        <w:t>4. Outlier Detection using IQR</w:t>
      </w:r>
    </w:p>
    <w:p>
      <w:r>
        <w:t>The Interquartile Range (IQR) method was used. An observation is treated as an outlier when it falls below Q1 − 1.5×IQR or above Q3 + 1.5×IQR. No outliers were detected in the three main numerical variables, so no observations were removed.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
              <w:rPr>
                <w:b/>
                <w:sz w:val="18"/>
              </w:rPr>
              <w:t>Variable</w:t>
            </w:r>
          </w:p>
        </w:tc>
        <w:tc>
          <w:tcPr>
            <w:tcW w:type="dxa" w:w="1704"/>
          </w:tcPr>
          <w:p>
            <w:r/>
            <w:r>
              <w:rPr>
                <w:b/>
                <w:sz w:val="18"/>
              </w:rPr>
              <w:t>Q1</w:t>
            </w:r>
          </w:p>
        </w:tc>
        <w:tc>
          <w:tcPr>
            <w:tcW w:type="dxa" w:w="1704"/>
          </w:tcPr>
          <w:p>
            <w:r/>
            <w:r>
              <w:rPr>
                <w:b/>
                <w:sz w:val="18"/>
              </w:rPr>
              <w:t>Q3</w:t>
            </w:r>
          </w:p>
        </w:tc>
        <w:tc>
          <w:tcPr>
            <w:tcW w:type="dxa" w:w="1704"/>
          </w:tcPr>
          <w:p>
            <w:r/>
            <w:r>
              <w:rPr>
                <w:b/>
                <w:sz w:val="18"/>
              </w:rPr>
              <w:t>Lower Bound</w:t>
            </w:r>
          </w:p>
        </w:tc>
        <w:tc>
          <w:tcPr>
            <w:tcW w:type="dxa" w:w="1704"/>
          </w:tcPr>
          <w:p>
            <w:r/>
            <w:r>
              <w:rPr>
                <w:b/>
                <w:sz w:val="18"/>
              </w:rPr>
              <w:t>Upper Bound</w:t>
            </w:r>
          </w:p>
        </w:tc>
        <w:tc>
          <w:tcPr>
            <w:tcW w:type="dxa" w:w="1704"/>
          </w:tcPr>
          <w:p>
            <w:r/>
            <w:r>
              <w:rPr>
                <w:b/>
                <w:sz w:val="18"/>
              </w:rPr>
              <w:t>Outliers</w:t>
            </w:r>
          </w:p>
        </w:tc>
      </w:tr>
      <w:tr>
        <w:tc>
          <w:tcPr>
            <w:tcW w:type="dxa" w:w="1704"/>
          </w:tcPr>
          <w:p>
            <w:r/>
            <w:r>
              <w:rPr>
                <w:b w:val="0"/>
                <w:sz w:val="18"/>
              </w:rPr>
              <w:t>tenure</w:t>
            </w:r>
          </w:p>
        </w:tc>
        <w:tc>
          <w:tcPr>
            <w:tcW w:type="dxa" w:w="1704"/>
          </w:tcPr>
          <w:p>
            <w:r/>
            <w:r>
              <w:rPr>
                <w:b w:val="0"/>
                <w:sz w:val="18"/>
              </w:rPr>
              <w:t>15</w:t>
            </w:r>
          </w:p>
        </w:tc>
        <w:tc>
          <w:tcPr>
            <w:tcW w:type="dxa" w:w="1704"/>
          </w:tcPr>
          <w:p>
            <w:r/>
            <w:r>
              <w:rPr>
                <w:b w:val="0"/>
                <w:sz w:val="18"/>
              </w:rPr>
              <w:t>71</w:t>
            </w:r>
          </w:p>
        </w:tc>
        <w:tc>
          <w:tcPr>
            <w:tcW w:type="dxa" w:w="1704"/>
          </w:tcPr>
          <w:p>
            <w:r/>
            <w:r>
              <w:rPr>
                <w:b w:val="0"/>
                <w:sz w:val="18"/>
              </w:rPr>
              <w:t>-60</w:t>
            </w:r>
          </w:p>
        </w:tc>
        <w:tc>
          <w:tcPr>
            <w:tcW w:type="dxa" w:w="1704"/>
          </w:tcPr>
          <w:p>
            <w:r/>
            <w:r>
              <w:rPr>
                <w:b w:val="0"/>
                <w:sz w:val="18"/>
              </w:rPr>
              <w:t>124</w:t>
            </w:r>
          </w:p>
        </w:tc>
        <w:tc>
          <w:tcPr>
            <w:tcW w:type="dxa" w:w="1704"/>
          </w:tcPr>
          <w:p>
            <w:r/>
            <w:r>
              <w:rPr>
                <w:b w:val="0"/>
                <w:sz w:val="18"/>
              </w:rPr>
              <w:t>0</w:t>
            </w:r>
          </w:p>
        </w:tc>
      </w:tr>
      <w:tr>
        <w:tc>
          <w:tcPr>
            <w:tcW w:type="dxa" w:w="1704"/>
          </w:tcPr>
          <w:p>
            <w:r/>
            <w:r>
              <w:rPr>
                <w:b w:val="0"/>
                <w:sz w:val="18"/>
              </w:rPr>
              <w:t>MonthlyCharges</w:t>
            </w:r>
          </w:p>
        </w:tc>
        <w:tc>
          <w:tcPr>
            <w:tcW w:type="dxa" w:w="1704"/>
          </w:tcPr>
          <w:p>
            <w:r/>
            <w:r>
              <w:rPr>
                <w:b w:val="0"/>
                <w:sz w:val="18"/>
              </w:rPr>
              <w:t>29.0</w:t>
            </w:r>
          </w:p>
        </w:tc>
        <w:tc>
          <w:tcPr>
            <w:tcW w:type="dxa" w:w="1704"/>
          </w:tcPr>
          <w:p>
            <w:r/>
            <w:r>
              <w:rPr>
                <w:b w:val="0"/>
                <w:sz w:val="18"/>
              </w:rPr>
              <w:t>89.85</w:t>
            </w:r>
          </w:p>
        </w:tc>
        <w:tc>
          <w:tcPr>
            <w:tcW w:type="dxa" w:w="1704"/>
          </w:tcPr>
          <w:p>
            <w:r/>
            <w:r>
              <w:rPr>
                <w:b w:val="0"/>
                <w:sz w:val="18"/>
              </w:rPr>
              <w:t>-46.025</w:t>
            </w:r>
          </w:p>
        </w:tc>
        <w:tc>
          <w:tcPr>
            <w:tcW w:type="dxa" w:w="1704"/>
          </w:tcPr>
          <w:p>
            <w:r/>
            <w:r>
              <w:rPr>
                <w:b w:val="0"/>
                <w:sz w:val="18"/>
              </w:rPr>
              <w:t>171.375</w:t>
            </w:r>
          </w:p>
        </w:tc>
        <w:tc>
          <w:tcPr>
            <w:tcW w:type="dxa" w:w="1704"/>
          </w:tcPr>
          <w:p>
            <w:r/>
            <w:r>
              <w:rPr>
                <w:b w:val="0"/>
                <w:sz w:val="18"/>
              </w:rPr>
              <w:t>0</w:t>
            </w:r>
          </w:p>
        </w:tc>
      </w:tr>
      <w:tr>
        <w:tc>
          <w:tcPr>
            <w:tcW w:type="dxa" w:w="1704"/>
          </w:tcPr>
          <w:p>
            <w:r/>
            <w:r>
              <w:rPr>
                <w:b w:val="0"/>
                <w:sz w:val="18"/>
              </w:rPr>
              <w:t>TotalCharges</w:t>
            </w:r>
          </w:p>
        </w:tc>
        <w:tc>
          <w:tcPr>
            <w:tcW w:type="dxa" w:w="1704"/>
          </w:tcPr>
          <w:p>
            <w:r/>
            <w:r>
              <w:rPr>
                <w:b w:val="0"/>
                <w:sz w:val="18"/>
              </w:rPr>
              <w:t>399</w:t>
            </w:r>
          </w:p>
        </w:tc>
        <w:tc>
          <w:tcPr>
            <w:tcW w:type="dxa" w:w="1704"/>
          </w:tcPr>
          <w:p>
            <w:r/>
            <w:r>
              <w:rPr>
                <w:b w:val="0"/>
                <w:sz w:val="18"/>
              </w:rPr>
              <w:t>3787.05</w:t>
            </w:r>
          </w:p>
        </w:tc>
        <w:tc>
          <w:tcPr>
            <w:tcW w:type="dxa" w:w="1704"/>
          </w:tcPr>
          <w:p>
            <w:r/>
            <w:r>
              <w:rPr>
                <w:b w:val="0"/>
                <w:sz w:val="18"/>
              </w:rPr>
              <w:t>-4683.525</w:t>
            </w:r>
          </w:p>
        </w:tc>
        <w:tc>
          <w:tcPr>
            <w:tcW w:type="dxa" w:w="1704"/>
          </w:tcPr>
          <w:p>
            <w:r/>
            <w:r>
              <w:rPr>
                <w:b w:val="0"/>
                <w:sz w:val="18"/>
              </w:rPr>
              <w:t>8868.675</w:t>
            </w:r>
          </w:p>
        </w:tc>
        <w:tc>
          <w:tcPr>
            <w:tcW w:type="dxa" w:w="1704"/>
          </w:tcPr>
          <w:p>
            <w:r/>
            <w:r>
              <w:rPr>
                <w:b w:val="0"/>
                <w:sz w:val="18"/>
              </w:rPr>
              <w:t>0</w:t>
            </w:r>
          </w:p>
        </w:tc>
      </w:tr>
    </w:tbl>
    <w:p/>
    <w:p>
      <w:pPr>
        <w:pStyle w:val="Heading1"/>
      </w:pPr>
      <w:r>
        <w:t>5. Normalization</w:t>
      </w:r>
    </w:p>
    <w:p>
      <w:r>
        <w:t>Min-max normalization was applied to numerical variables so that each transformed feature lies between 0 and 1. This is useful when numerical variables have different scales and is especially helpful for algorithms that are sensitive to feature magnitude.</w:t>
      </w:r>
    </w:p>
    <w:p>
      <w:pPr>
        <w:pStyle w:val="NoSpacing"/>
        <w:spacing w:after="120"/>
        <w:ind w:left="360"/>
      </w:pPr>
      <w:r>
        <w:rPr>
          <w:rFonts w:ascii="Consolas" w:hAnsi="Consolas"/>
          <w:sz w:val="17"/>
        </w:rPr>
        <w:t>normalize &lt;- function(x) {</w:t>
        <w:br/>
        <w:t xml:space="preserve">  (x - min(x)) / (max(x) - min(x))</w:t>
        <w:br/>
        <w:t>}</w:t>
        <w:br/>
        <w:br/>
        <w:t>model_data$tenure_scaled &lt;- normalize(clean_data$tenure)</w:t>
        <w:br/>
        <w:t>model_data$MonthlyCharges_scaled &lt;- normalize(clean_data$MonthlyCharges)</w:t>
        <w:br/>
        <w:t>model_data$TotalCharges_scaled &lt;- normalize(clean_data$TotalCharges)</w:t>
      </w:r>
    </w:p>
    <w:p>
      <w:r>
        <w:rPr>
          <w:b/>
          <w:sz w:val="17"/>
        </w:rPr>
        <w:t>R OUTPUT</w:t>
        <w:br/>
      </w:r>
      <w:r>
        <w:rPr>
          <w:rFonts w:ascii="Consolas" w:hAnsi="Consolas"/>
          <w:sz w:val="17"/>
        </w:rPr>
        <w:t>Scaled-variable summary:</w:t>
        <w:br/>
        <w:t>tenure_scaled: Min 0, Median 0.4028, Mean 0.4496, Max 1</w:t>
        <w:br/>
        <w:t>MonthlyCharges_scaled: Min 0, Median 0.5184, Mean 0.4628, Max 1</w:t>
        <w:br/>
        <w:t>TotalCharges_scaled: Min 0, Median 0.1606, Mean 0.2625, Max 1</w:t>
      </w:r>
    </w:p>
    <w:p>
      <w:pPr>
        <w:pStyle w:val="Heading1"/>
      </w:pPr>
      <w:r>
        <w:t>6. Categorical Encoding</w:t>
      </w:r>
    </w:p>
    <w:p>
      <w:r>
        <w:t>Categorical variables were represented as R factors. This preserves category labels and allows statistical modelling functions such as glm() to automatically construct indicator variables using a reference category. The customerID field was retained for identification but should not be used as a predictive feature.</w:t>
      </w:r>
    </w:p>
    <w:p>
      <w:pPr>
        <w:pStyle w:val="NoSpacing"/>
        <w:spacing w:after="120"/>
        <w:ind w:left="360"/>
      </w:pPr>
      <w:r>
        <w:rPr>
          <w:rFonts w:ascii="Consolas" w:hAnsi="Consolas"/>
          <w:sz w:val="17"/>
        </w:rPr>
        <w:t>categorical_cols &lt;- c(</w:t>
        <w:br/>
        <w:t xml:space="preserve">  "customerID","gender","Partner","Dependents","PhoneService",</w:t>
        <w:br/>
        <w:t xml:space="preserve">  "MultipleLines","InternetService","OnlineSecurity","OnlineBackup",</w:t>
        <w:br/>
        <w:t xml:space="preserve">  "DeviceProtection","TechSupport","StreamingTV","StreamingMovies",</w:t>
        <w:br/>
        <w:t xml:space="preserve">  "Contract","PaperlessBilling","PaymentMethod","Churn"</w:t>
        <w:br/>
        <w:t>)</w:t>
        <w:br/>
        <w:br/>
        <w:t>clean_data[categorical_cols] &lt;- lapply(clean_data[categorical_cols], factor)</w:t>
      </w:r>
    </w:p>
    <w:p>
      <w:pPr>
        <w:pStyle w:val="Heading1"/>
      </w:pPr>
      <w:r>
        <w:t>7. Preliminary Findings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
              <w:rPr>
                <w:b/>
                <w:sz w:val="18"/>
              </w:rPr>
              <w:t>Metric</w:t>
            </w:r>
          </w:p>
        </w:tc>
        <w:tc>
          <w:tcPr>
            <w:tcW w:type="dxa" w:w="3408"/>
          </w:tcPr>
          <w:p>
            <w:r/>
            <w:r>
              <w:rPr>
                <w:b/>
                <w:sz w:val="18"/>
              </w:rPr>
              <w:t>No Churn</w:t>
            </w:r>
          </w:p>
        </w:tc>
        <w:tc>
          <w:tcPr>
            <w:tcW w:type="dxa" w:w="3408"/>
          </w:tcPr>
          <w:p>
            <w:r/>
            <w:r>
              <w:rPr>
                <w:b/>
                <w:sz w:val="18"/>
              </w:rPr>
              <w:t>Churn</w:t>
            </w:r>
          </w:p>
        </w:tc>
      </w:tr>
      <w:tr>
        <w:tc>
          <w:tcPr>
            <w:tcW w:type="dxa" w:w="3408"/>
          </w:tcPr>
          <w:p>
            <w:r/>
            <w:r>
              <w:rPr>
                <w:b w:val="0"/>
                <w:sz w:val="18"/>
              </w:rPr>
              <w:t>Customers</w:t>
            </w:r>
          </w:p>
        </w:tc>
        <w:tc>
          <w:tcPr>
            <w:tcW w:type="dxa" w:w="3408"/>
          </w:tcPr>
          <w:p>
            <w:r/>
            <w:r>
              <w:rPr>
                <w:b w:val="0"/>
                <w:sz w:val="18"/>
              </w:rPr>
              <w:t>5,174</w:t>
            </w:r>
          </w:p>
        </w:tc>
        <w:tc>
          <w:tcPr>
            <w:tcW w:type="dxa" w:w="3408"/>
          </w:tcPr>
          <w:p>
            <w:r/>
            <w:r>
              <w:rPr>
                <w:b w:val="0"/>
                <w:sz w:val="18"/>
              </w:rPr>
              <w:t>1,869</w:t>
            </w:r>
          </w:p>
        </w:tc>
      </w:tr>
      <w:tr>
        <w:tc>
          <w:tcPr>
            <w:tcW w:type="dxa" w:w="3408"/>
          </w:tcPr>
          <w:p>
            <w:r/>
            <w:r>
              <w:rPr>
                <w:b w:val="0"/>
                <w:sz w:val="18"/>
              </w:rPr>
              <w:t>Percentage</w:t>
            </w:r>
          </w:p>
        </w:tc>
        <w:tc>
          <w:tcPr>
            <w:tcW w:type="dxa" w:w="3408"/>
          </w:tcPr>
          <w:p>
            <w:r/>
            <w:r>
              <w:rPr>
                <w:b w:val="0"/>
                <w:sz w:val="18"/>
              </w:rPr>
              <w:t>73.46%</w:t>
            </w:r>
          </w:p>
        </w:tc>
        <w:tc>
          <w:tcPr>
            <w:tcW w:type="dxa" w:w="3408"/>
          </w:tcPr>
          <w:p>
            <w:r/>
            <w:r>
              <w:rPr>
                <w:b w:val="0"/>
                <w:sz w:val="18"/>
              </w:rPr>
              <w:t>26.54%</w:t>
            </w:r>
          </w:p>
        </w:tc>
      </w:tr>
      <w:tr>
        <w:tc>
          <w:tcPr>
            <w:tcW w:type="dxa" w:w="3408"/>
          </w:tcPr>
          <w:p>
            <w:r/>
            <w:r>
              <w:rPr>
                <w:b w:val="0"/>
                <w:sz w:val="18"/>
              </w:rPr>
              <w:t>Average tenure</w:t>
            </w:r>
          </w:p>
        </w:tc>
        <w:tc>
          <w:tcPr>
            <w:tcW w:type="dxa" w:w="3408"/>
          </w:tcPr>
          <w:p>
            <w:r/>
            <w:r>
              <w:rPr>
                <w:b w:val="0"/>
                <w:sz w:val="18"/>
              </w:rPr>
              <w:t>37.57 months</w:t>
            </w:r>
          </w:p>
        </w:tc>
        <w:tc>
          <w:tcPr>
            <w:tcW w:type="dxa" w:w="3408"/>
          </w:tcPr>
          <w:p>
            <w:r/>
            <w:r>
              <w:rPr>
                <w:b w:val="0"/>
                <w:sz w:val="18"/>
              </w:rPr>
              <w:t>17.98 months</w:t>
            </w:r>
          </w:p>
        </w:tc>
      </w:tr>
      <w:tr>
        <w:tc>
          <w:tcPr>
            <w:tcW w:type="dxa" w:w="3408"/>
          </w:tcPr>
          <w:p>
            <w:r/>
            <w:r>
              <w:rPr>
                <w:b w:val="0"/>
                <w:sz w:val="18"/>
              </w:rPr>
              <w:t>Average MonthlyCharges</w:t>
            </w:r>
          </w:p>
        </w:tc>
        <w:tc>
          <w:tcPr>
            <w:tcW w:type="dxa" w:w="3408"/>
          </w:tcPr>
          <w:p>
            <w:r/>
            <w:r>
              <w:rPr>
                <w:b w:val="0"/>
                <w:sz w:val="18"/>
              </w:rPr>
              <w:t>61.27</w:t>
            </w:r>
          </w:p>
        </w:tc>
        <w:tc>
          <w:tcPr>
            <w:tcW w:type="dxa" w:w="3408"/>
          </w:tcPr>
          <w:p>
            <w:r/>
            <w:r>
              <w:rPr>
                <w:b w:val="0"/>
                <w:sz w:val="18"/>
              </w:rPr>
              <w:t>74.44</w:t>
            </w:r>
          </w:p>
        </w:tc>
      </w:tr>
      <w:tr>
        <w:tc>
          <w:tcPr>
            <w:tcW w:type="dxa" w:w="3408"/>
          </w:tcPr>
          <w:p>
            <w:r/>
            <w:r>
              <w:rPr>
                <w:b w:val="0"/>
                <w:sz w:val="18"/>
              </w:rPr>
              <w:t>Average TotalCharges</w:t>
            </w:r>
          </w:p>
        </w:tc>
        <w:tc>
          <w:tcPr>
            <w:tcW w:type="dxa" w:w="3408"/>
          </w:tcPr>
          <w:p>
            <w:r/>
            <w:r>
              <w:rPr>
                <w:b w:val="0"/>
                <w:sz w:val="18"/>
              </w:rPr>
              <w:t>2549.91</w:t>
            </w:r>
          </w:p>
        </w:tc>
        <w:tc>
          <w:tcPr>
            <w:tcW w:type="dxa" w:w="3408"/>
          </w:tcPr>
          <w:p>
            <w:r/>
            <w:r>
              <w:rPr>
                <w:b w:val="0"/>
                <w:sz w:val="18"/>
              </w:rPr>
              <w:t>1531.80</w:t>
            </w:r>
          </w:p>
        </w:tc>
      </w:tr>
    </w:tbl>
    <w:p/>
    <w:p>
      <w:r>
        <w:t>The cleaned data shows a clear class imbalance, with approximately 26.5% of customers having churned. Churned customers have substantially lower average tenure and higher average monthly charges. These patterns provide a strong basis for deeper visualization and predictive modelling in later weeks.</w:t>
      </w:r>
    </w:p>
    <w:p>
      <w:pPr>
        <w:pStyle w:val="Heading1"/>
      </w:pPr>
      <w:r>
        <w:t>8. Conclusion</w:t>
      </w:r>
    </w:p>
    <w:p>
      <w:r>
        <w:t>The Week 1 process produced a consistent, analysis-ready dataset. Missing values were investigated rather than blindly deleted, outliers were checked using a reproducible IQR rule, numerical variables were normalized, and categorical variables were converted to factors. The preliminary analysis also identified contract type, tenure and monthly charges as promising variables for further investigation.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