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2 REPORT</w:t>
      </w:r>
    </w:p>
    <w:p>
      <w:pPr>
        <w:jc w:val="center"/>
      </w:pPr>
      <w:r>
        <w:rPr>
          <w:i/>
          <w:sz w:val="20"/>
        </w:rPr>
        <w:t>Data Visualization and Insight Communication using R</w:t>
      </w:r>
    </w:p>
    <w:p>
      <w:pPr>
        <w:jc w:val="center"/>
      </w:pPr>
      <w:r>
        <w:rPr>
          <w:sz w:val="18"/>
        </w:rPr>
        <w:t>Dataset: Publicly available Telco Customer Churn dataset | Records: 7,043 | Target: Churn</w:t>
      </w:r>
    </w:p>
    <w:p/>
    <w:p>
      <w:pPr>
        <w:pStyle w:val="Heading1"/>
      </w:pPr>
      <w:r>
        <w:t>1. Objective</w:t>
      </w:r>
    </w:p>
    <w:p>
      <w:r>
        <w:t>The purpose of this report is to communicate the main patterns in the Telco Customer Churn dataset through clear, audience-friendly visualizations. The same cleaned dataset from Week 1 was used so that the visual analysis remains consistent with the preprocessing decisions.</w:t>
      </w:r>
    </w:p>
    <w:p>
      <w:pPr>
        <w:pStyle w:val="Heading1"/>
      </w:pPr>
      <w:r>
        <w:t>2. Churn Distribution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churn_table &lt;- table(clean_data$Churn)</w:t>
        <w:br/>
        <w:t>barplot(churn_table,</w:t>
        <w:br/>
        <w:t xml:space="preserve">        main = "Customer Churn Distribution",</w:t>
        <w:br/>
        <w:t xml:space="preserve">        ylab = "Number of Customers")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6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6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5,174 customers did not churn while 1,869 churned. Churn therefore represents 26.54% of the customer base.</w:t>
      </w:r>
    </w:p>
    <w:p>
      <w:pPr>
        <w:pStyle w:val="Heading1"/>
      </w:pPr>
      <w:r>
        <w:t>3. Contract Type and Churn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contract_churn &lt;- table(clean_data$Contract, clean_data$Churn)</w:t>
        <w:br/>
        <w:t>barplot(contract_churn,</w:t>
        <w:br/>
        <w:t xml:space="preserve">        beside = TRUE,</w:t>
        <w:br/>
        <w:t xml:space="preserve">        main = "Contract Type vs Churn",</w:t>
        <w:br/>
        <w:t xml:space="preserve">        ylab = "Customers",</w:t>
        <w:br/>
        <w:t xml:space="preserve">        legend.text = TRUE)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3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vs_ch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Contract type is strongly associated with churn. Month-to-month customers have a churn rate of 42.71%, compared with 11.27% for one-year contracts and only 2.83% for two-year contracts. This is one of the most actionable findings because contract structure may influence customer retention.</w:t>
      </w:r>
    </w:p>
    <w:p>
      <w:pPr>
        <w:pStyle w:val="Heading1"/>
      </w:pPr>
      <w:r>
        <w:t>4. Average Tenure by Churn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aggregate(tenure ~ Churn, data = clean_data, FUN = mean)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08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tenure_by_ch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non-churned customers have an average tenure of 37.57 months, while churned customers average only 17.98 months.</w:t>
      </w:r>
    </w:p>
    <w:p>
      <w:pPr>
        <w:pStyle w:val="Heading1"/>
      </w:pPr>
      <w:r>
        <w:t>5. Average Monthly Charges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aggregate(MonthlyCharges ~ Churn, data = clean_data, FUN = mean)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08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monthly_char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churned customers pay higher average monthly charges (74.44) than retained customers (61.27), suggesting price or service-value concerns may deserve attention.</w:t>
      </w:r>
    </w:p>
    <w:p>
      <w:pPr>
        <w:pStyle w:val="Heading1"/>
      </w:pPr>
      <w:r>
        <w:t>6. Average Total Charges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aggregate(TotalCharges ~ Churn, data = clean_data, FUN = mean)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05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total_char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churned customers have lower average total charges because they tend to leave earlier, consistent with their much lower average tenure.</w:t>
      </w:r>
    </w:p>
    <w:p>
      <w:pPr>
        <w:pStyle w:val="Heading1"/>
      </w:pPr>
      <w:r>
        <w:t>7. Correlation Analysis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numeric_data &lt;- clean_data[, c(</w:t>
        <w:br/>
        <w:t xml:space="preserve">  "SeniorCitizen","tenure","MonthlyCharges","TotalCharges"</w:t>
        <w:br/>
        <w:t>)]</w:t>
        <w:br/>
        <w:t>cor_matrix &lt;- cor(numeric_data, use = "complete.obs")</w:t>
        <w:br/>
        <w:t>round(cor_matrix,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37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Tenure and TotalCharges have the strongest relationship among the numerical variables (r = 0.83). MonthlyCharges and TotalCharges are also positively related (r = 0.65). The relationship between SeniorCitizen and tenure is very weak (r = 0.02).</w:t>
      </w:r>
    </w:p>
    <w:p>
      <w:pPr>
        <w:pStyle w:val="Heading1"/>
      </w:pPr>
      <w:r>
        <w:t>8. Communication Summary</w:t>
      </w:r>
    </w:p>
    <w:p>
      <w:r>
        <w:t>The visualizations show that churn is concentrated among month-to-month customers, shorter-tenure customers and customers paying higher monthly charges. The charts were selected to make these patterns understandable to a non-technical audience without requiring statistical knowledge.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