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imes New Roman" w:hAnsi="Times New Roman"/>
          <w:b w:val="0"/>
          <w:sz w:val="22"/>
        </w:rPr>
        <w:t>Running head: PREDICTING PRESCRIPTION ABANDONMENT</w:t>
      </w:r>
    </w:p>
    <w:p/>
    <w:p/>
    <w:p/>
    <w:p/>
    <w:p>
      <w:pPr>
        <w:spacing w:after="0"/>
        <w:jc w:val="center"/>
      </w:pPr>
      <w:r>
        <w:rPr>
          <w:rFonts w:ascii="Times New Roman" w:hAnsi="Times New Roman"/>
          <w:b/>
          <w:sz w:val="22"/>
        </w:rPr>
        <w:t>Predicting Prescription Abandonment: A Data-Driven Approach to Closing the Gap Between Prescription and Patient</w:t>
      </w:r>
    </w:p>
    <w:p/>
    <w:p>
      <w:pPr>
        <w:spacing w:after="0"/>
        <w:jc w:val="center"/>
      </w:pPr>
      <w:r>
        <w:rPr>
          <w:rFonts w:ascii="Times New Roman" w:hAnsi="Times New Roman"/>
          <w:b w:val="0"/>
          <w:sz w:val="22"/>
        </w:rPr>
        <w:t>Shruti Malik, MBBS, MHSA</w:t>
      </w:r>
    </w:p>
    <w:p>
      <w:pPr>
        <w:spacing w:after="0"/>
        <w:jc w:val="center"/>
      </w:pPr>
      <w:r>
        <w:rPr>
          <w:rFonts w:ascii="Times New Roman" w:hAnsi="Times New Roman"/>
          <w:b w:val="0"/>
          <w:sz w:val="22"/>
        </w:rPr>
        <w:t>ITEC 5040</w:t>
      </w:r>
    </w:p>
    <w:p>
      <w:pPr>
        <w:spacing w:after="0"/>
        <w:jc w:val="center"/>
      </w:pPr>
      <w:r>
        <w:rPr>
          <w:rFonts w:ascii="Times New Roman" w:hAnsi="Times New Roman"/>
          <w:b w:val="0"/>
          <w:sz w:val="22"/>
        </w:rPr>
        <w:t>Dr. C</w:t>
      </w:r>
    </w:p>
    <w:p>
      <w:pPr>
        <w:spacing w:after="0"/>
        <w:jc w:val="center"/>
      </w:pPr>
      <w:r>
        <w:rPr>
          <w:rFonts w:ascii="Times New Roman" w:hAnsi="Times New Roman"/>
          <w:b w:val="0"/>
          <w:sz w:val="22"/>
        </w:rPr>
        <w:t>April 19, 2026</w:t>
      </w:r>
    </w:p>
    <w:p>
      <w:r>
        <w:br w:type="page"/>
      </w:r>
    </w:p>
    <w:p>
      <w:pPr>
        <w:spacing w:line="440" w:lineRule="exact" w:before="0" w:after="0"/>
        <w:jc w:val="center"/>
      </w:pPr>
      <w:r>
        <w:rPr>
          <w:rFonts w:ascii="Times New Roman" w:hAnsi="Times New Roman"/>
          <w:b/>
          <w:sz w:val="22"/>
        </w:rPr>
        <w:t>Predicting Prescription Abandonment: A Data-Driven Approach to Closing the Gap Between Prescription and Patient</w:t>
      </w:r>
    </w:p>
    <w:p>
      <w:pPr>
        <w:spacing w:line="440" w:lineRule="exact" w:before="0" w:after="0"/>
        <w:jc w:val="center"/>
      </w:pPr>
      <w:r>
        <w:rPr>
          <w:rFonts w:ascii="Times New Roman" w:hAnsi="Times New Roman"/>
          <w:b/>
          <w:sz w:val="22"/>
        </w:rPr>
        <w:t>Introduction</w:t>
      </w:r>
    </w:p>
    <w:p>
      <w:pPr>
        <w:spacing w:line="440" w:lineRule="exact" w:before="0" w:after="0"/>
        <w:ind w:firstLine="720"/>
      </w:pPr>
      <w:r>
        <w:rPr>
          <w:rFonts w:ascii="Times New Roman" w:hAnsi="Times New Roman"/>
          <w:b w:val="0"/>
          <w:sz w:val="22"/>
        </w:rPr>
        <w:t>Every day that I worked as a pharmacy technician at CVS, I watched the same thing happen: a prescription would come in, sit in its little labeled bag tucked in the ready bin, and never get picked up. At the end of the week, those bags would be collected and the medications returned to stock — a process we called “Return to Stock,” or RTS. To the untrained eye, it might seem like a minor operational inconvenience. But having a background in medicine and healthcare administration, I could never look at a returned prescription bag without wondering about the person on the other side of that label. Did they feel better and think they no longer needed it? Was the cost too high? Did no one remind them to come in? Prescription abandonment is one of those problems that sits quietly at the intersection of patient care and business operations, and it does real damage on both fronts.</w:t>
      </w:r>
    </w:p>
    <w:p>
      <w:pPr>
        <w:spacing w:line="440" w:lineRule="exact" w:before="0" w:after="0"/>
        <w:ind w:firstLine="720"/>
      </w:pPr>
      <w:r>
        <w:rPr>
          <w:rFonts w:ascii="Times New Roman" w:hAnsi="Times New Roman"/>
          <w:b w:val="0"/>
          <w:sz w:val="22"/>
        </w:rPr>
        <w:t>This course project is my attempt to take that daily, firsthand frustration and turn it into something useful. I want to build a data analytics model that can predict which patients are most at risk of abandoning their prescriptions before they ever walk out of the pharmacy — or fail to walk in at all.</w:t>
      </w:r>
    </w:p>
    <w:p>
      <w:pPr>
        <w:spacing w:line="440" w:lineRule="exact" w:before="0" w:after="0"/>
        <w:jc w:val="center"/>
      </w:pPr>
      <w:r>
        <w:rPr>
          <w:rFonts w:ascii="Times New Roman" w:hAnsi="Times New Roman"/>
          <w:b/>
          <w:sz w:val="22"/>
        </w:rPr>
        <w:t>The Business Problem and Scenario</w:t>
      </w:r>
    </w:p>
    <w:p>
      <w:pPr>
        <w:spacing w:line="440" w:lineRule="exact" w:before="0" w:after="0"/>
        <w:ind w:firstLine="720"/>
      </w:pPr>
      <w:r>
        <w:rPr>
          <w:rFonts w:ascii="Times New Roman" w:hAnsi="Times New Roman"/>
          <w:b w:val="0"/>
          <w:sz w:val="22"/>
        </w:rPr>
        <w:t>The question at the heart of this project is straightforward: Can we predict, based on a patient’s initial encounter data, whether they are at high risk of not picking up their prescription?</w:t>
      </w:r>
    </w:p>
    <w:p>
      <w:pPr>
        <w:spacing w:line="440" w:lineRule="exact" w:before="0" w:after="0"/>
        <w:ind w:firstLine="720"/>
      </w:pPr>
      <w:r>
        <w:rPr>
          <w:rFonts w:ascii="Times New Roman" w:hAnsi="Times New Roman"/>
          <w:b w:val="0"/>
          <w:sz w:val="22"/>
        </w:rPr>
        <w:t>Prescription non-adherence is a well-documented crisis in American healthcare. Approximately 20–30% of new prescriptions are never filled, and roughly half of all prescriptions for chronic disease are not taken as directed (Kleinsinger, 2018). For a retail pharmacy like CVS, this means lost revenue, wasted inventory, and staff time spent processing returns. But the operational loss is secondary to the human cost. When a diabetic patient does not pick up their insulin, or a hypertensive patient skips their medication, the downstream consequences can be hospitalizations, emergency department visits, and even death.</w:t>
      </w:r>
    </w:p>
    <w:p>
      <w:pPr>
        <w:spacing w:line="440" w:lineRule="exact" w:before="0" w:after="0"/>
        <w:ind w:firstLine="720"/>
      </w:pPr>
      <w:r>
        <w:rPr>
          <w:rFonts w:ascii="Times New Roman" w:hAnsi="Times New Roman"/>
          <w:b w:val="0"/>
          <w:sz w:val="22"/>
        </w:rPr>
        <w:t>My work at medtools.net — a health technology platform I founded — has deepened my appreciation for how preventative, data-informed interventions can change patient outcomes at scale. I have seen firsthand how a well-timed digital nudge or risk flag in a clinical workflow can make the difference between a patient who engages with their care and one who drops off. This project is an extension of that philosophy: if we can identify who is likely to abandon their prescription, a pharmacy or clinical team can proactively intervene — a phone call, a medication counseling session, a cost-assistance referral — before the prescription ever makes it to the RTS bin. Pharmacies that reduce prescription abandonment rates retain revenue, improve patient satisfaction scores, and contribute to better population health outcomes. Identifying high-risk patients is the critical first step.</w:t>
      </w:r>
    </w:p>
    <w:p>
      <w:pPr>
        <w:spacing w:line="440" w:lineRule="exact" w:before="0" w:after="0"/>
        <w:jc w:val="center"/>
      </w:pPr>
      <w:r>
        <w:rPr>
          <w:rFonts w:ascii="Times New Roman" w:hAnsi="Times New Roman"/>
          <w:b/>
          <w:sz w:val="22"/>
        </w:rPr>
        <w:t>Data Source</w:t>
      </w:r>
    </w:p>
    <w:p>
      <w:pPr>
        <w:spacing w:line="440" w:lineRule="exact" w:before="0" w:after="0"/>
        <w:ind w:firstLine="720"/>
      </w:pPr>
      <w:r>
        <w:rPr>
          <w:rFonts w:ascii="Times New Roman" w:hAnsi="Times New Roman"/>
          <w:b w:val="0"/>
          <w:sz w:val="22"/>
        </w:rPr>
        <w:t>To keep this project HIPAA-compliant and academically rigorous without relying on any proprietary or workplace-held data, I will use a publicly available, de-identified dataset: the Diabetes 130-US Hospitals for Years 1999–2008 dataset, sourced from the UCI Machine Learning Repository (Strack et al., 2014). This dataset contains over 100,000 inpatient encounters from 130 hospitals across the United States. Each row represents a single patient encounter and includes more than 50 variables covering demographics, diagnoses, lab results, medications, and discharge dispositions.</w:t>
      </w:r>
    </w:p>
    <w:p>
      <w:pPr>
        <w:spacing w:line="440" w:lineRule="exact" w:before="0" w:after="0"/>
        <w:ind w:firstLine="720"/>
      </w:pPr>
      <w:r>
        <w:rPr>
          <w:rFonts w:ascii="Times New Roman" w:hAnsi="Times New Roman"/>
          <w:b w:val="0"/>
          <w:sz w:val="22"/>
        </w:rPr>
        <w:t>Because this is a publicly available, fully de-identified dataset, no special permissions, institutional approvals, or confidentiality agreements are required. There is no personally identifiable information (PII) in the dataset, and no proprietary organizational data will be used at any point in this project. This makes it an appropriate and ethically sound choice for an academic analytics exercise. For the purposes of this project, I will use Python as my primary analytical tool, leveraging libraries such as pandas for data wrangling, scikit-learn for classification modeling, and matplotlib and seaborn for visualization.</w:t>
      </w:r>
    </w:p>
    <w:p>
      <w:pPr>
        <w:spacing w:line="440" w:lineRule="exact" w:before="0" w:after="0"/>
        <w:jc w:val="center"/>
      </w:pPr>
      <w:r>
        <w:rPr>
          <w:rFonts w:ascii="Times New Roman" w:hAnsi="Times New Roman"/>
          <w:b/>
          <w:sz w:val="22"/>
        </w:rPr>
        <w:t>Alignment Between the Data Set and the Business Problem</w:t>
      </w:r>
    </w:p>
    <w:p>
      <w:pPr>
        <w:spacing w:line="440" w:lineRule="exact" w:before="0" w:after="0"/>
        <w:ind w:firstLine="720"/>
      </w:pPr>
      <w:r>
        <w:rPr>
          <w:rFonts w:ascii="Times New Roman" w:hAnsi="Times New Roman"/>
          <w:b w:val="0"/>
          <w:sz w:val="22"/>
        </w:rPr>
        <w:t>At first glance, a diabetes hospitalization dataset and a prescription abandonment problem at a retail pharmacy might seem like an imperfect match. I want to address that head-on, because the alignment is more intentional than it appears.</w:t>
      </w:r>
    </w:p>
    <w:p>
      <w:pPr>
        <w:spacing w:line="440" w:lineRule="exact" w:before="0" w:after="0"/>
        <w:ind w:firstLine="720"/>
      </w:pPr>
      <w:r>
        <w:rPr>
          <w:rFonts w:ascii="Times New Roman" w:hAnsi="Times New Roman"/>
          <w:b w:val="0"/>
          <w:sz w:val="22"/>
        </w:rPr>
        <w:t>The dataset’s target variable is readmission status — whether a patient was readmitted within 30 days, after 30 days, or not at all. In the literature, hospital readmission is strongly correlated with medication non-adherence, which is itself the broader behavioral category that prescription abandonment belongs to (Lam &amp; Marsden, 2014). For this project, I will treat readmission as a proxy variable for medication non-adherence, acknowledging that patients who are readmitted quickly are often those who did not properly follow through on their outpatient medication regimens.</w:t>
      </w:r>
    </w:p>
    <w:p>
      <w:pPr>
        <w:spacing w:line="440" w:lineRule="exact" w:before="0" w:after="0"/>
        <w:ind w:firstLine="720"/>
      </w:pPr>
      <w:r>
        <w:rPr>
          <w:rFonts w:ascii="Times New Roman" w:hAnsi="Times New Roman"/>
          <w:b w:val="0"/>
          <w:sz w:val="22"/>
        </w:rPr>
        <w:t>The independent variables I plan to use align directly with the patient-level risk factors I observed on the pharmacy floor. These include: age and race, which reflect social determinants of medication access and health literacy; number of medications, as patients managing many prescriptions are more susceptible to adherence fatigue; primary diagnosis (ICD-9 codes), since the nature of an illness shapes a patient’s motivation to follow through with treatment; change in diabetic medications, a known friction point where patients frequently disengage; and number of prior inpatient visits, since frequent hospital utilizers may have lower engagement with outpatient care.</w:t>
      </w:r>
    </w:p>
    <w:p>
      <w:pPr>
        <w:spacing w:line="440" w:lineRule="exact" w:before="0" w:after="0"/>
        <w:ind w:firstLine="720"/>
      </w:pPr>
      <w:r>
        <w:rPr>
          <w:rFonts w:ascii="Times New Roman" w:hAnsi="Times New Roman"/>
          <w:b w:val="0"/>
          <w:sz w:val="22"/>
        </w:rPr>
        <w:t>By training a classification model — likely a logistic regression baseline followed by a random forest or gradient boosting classifier — on these features, I aim to produce a probability score that can flag high-risk patients for intervention. The output of this model is directly applicable to a pharmacy workflow: a risk score attached to a prescription pick-up that triggers an outreach action. This project is achievable within a 10-week timeframe. The dataset is already cleaned and widely used in academic research, which reduces preprocessing burden. The modeling pipeline using scikit-learn is well-documented, and the scope is narrow enough to allow for meaningful iteration and reflection within the course schedule.</w:t>
      </w:r>
    </w:p>
    <w:p>
      <w:pPr>
        <w:spacing w:line="440" w:lineRule="exact" w:before="0" w:after="0"/>
        <w:jc w:val="center"/>
      </w:pPr>
      <w:r>
        <w:rPr>
          <w:rFonts w:ascii="Times New Roman" w:hAnsi="Times New Roman"/>
          <w:b/>
          <w:sz w:val="22"/>
        </w:rPr>
        <w:t>Conclusion</w:t>
      </w:r>
    </w:p>
    <w:p>
      <w:pPr>
        <w:spacing w:line="440" w:lineRule="exact" w:before="0" w:after="0"/>
        <w:ind w:firstLine="720"/>
      </w:pPr>
      <w:r>
        <w:rPr>
          <w:rFonts w:ascii="Times New Roman" w:hAnsi="Times New Roman"/>
          <w:b w:val="0"/>
          <w:sz w:val="22"/>
        </w:rPr>
        <w:t>This project is personal to me in a way that I think will make it better research. I have stood at that pharmacy counter. I have processed those returned prescriptions. And I have spent years thinking about how technology can close the gaps in healthcare that data alone often reveals but people must ultimately solve. This proposal is the beginning of turning that experience into evidence — a model that does not just describe the problem of prescription abandonment, but helps predict and prevent it.</w:t>
      </w:r>
    </w:p>
    <w:p>
      <w:r>
        <w:br w:type="page"/>
      </w:r>
    </w:p>
    <w:p>
      <w:pPr>
        <w:spacing w:line="440" w:lineRule="exact" w:before="0" w:after="0"/>
        <w:jc w:val="center"/>
      </w:pPr>
      <w:r>
        <w:rPr>
          <w:rFonts w:ascii="Times New Roman" w:hAnsi="Times New Roman"/>
          <w:b/>
          <w:sz w:val="22"/>
        </w:rPr>
        <w:t>References</w:t>
      </w:r>
    </w:p>
    <w:p>
      <w:pPr>
        <w:spacing w:line="440" w:lineRule="exact" w:before="0" w:after="0"/>
        <w:ind w:left="720" w:hanging="720"/>
      </w:pPr>
      <w:r>
        <w:rPr>
          <w:rFonts w:ascii="Times New Roman" w:hAnsi="Times New Roman"/>
          <w:b w:val="0"/>
          <w:sz w:val="22"/>
        </w:rPr>
        <w:t>Kleinsinger, F. (2018). The unmet challenge of medication nonadherence. The Permanente Journal, 22, 18–033. https://doi.org/10.7812/TPP/18-033</w:t>
      </w:r>
    </w:p>
    <w:p>
      <w:pPr>
        <w:spacing w:line="440" w:lineRule="exact" w:before="0" w:after="0"/>
        <w:ind w:left="720" w:hanging="720"/>
      </w:pPr>
      <w:r>
        <w:rPr>
          <w:rFonts w:ascii="Times New Roman" w:hAnsi="Times New Roman"/>
          <w:b w:val="0"/>
          <w:sz w:val="22"/>
        </w:rPr>
        <w:t>Lam, W. Y., &amp; Marsden, P. (2014). Medication adherence measures: An overview. BioMed Research International, 2015, 217047. https://doi.org/10.1155/2015/217047</w:t>
      </w:r>
    </w:p>
    <w:p>
      <w:pPr>
        <w:spacing w:line="440" w:lineRule="exact" w:before="0" w:after="0"/>
        <w:ind w:left="720" w:hanging="720"/>
      </w:pPr>
      <w:r>
        <w:rPr>
          <w:rFonts w:ascii="Times New Roman" w:hAnsi="Times New Roman"/>
          <w:b w:val="0"/>
          <w:sz w:val="22"/>
        </w:rPr>
        <w:t>Strack, B., DeShazo, J. P., Gennings, C., Olmo, J. L., Ventura, S., Cios, K. J., &amp; Clore, J. N. (2014). Impact of HbA1c measurement on hospital readmission rates: Analysis of 70,000 clinical database patient records. BioMed Research International, 2014, 781670. https://doi.org/10.1155/2014/781670</w:t>
      </w:r>
    </w:p>
    <w:p>
      <w:pPr>
        <w:spacing w:line="440" w:lineRule="exact" w:before="0" w:after="0"/>
        <w:ind w:left="720" w:hanging="720"/>
      </w:pPr>
      <w:r>
        <w:rPr>
          <w:rFonts w:ascii="Times New Roman" w:hAnsi="Times New Roman"/>
          <w:b w:val="0"/>
          <w:sz w:val="22"/>
        </w:rPr>
        <w:t>UCI Machine Learning Repository. (2014). Diabetes 130-US hospitals for years 1999–2008. University of California, Irvine. https://archive.ics.uci.edu/ml/datasets/Diabetes+130-US+hospitals+for+years+1999-2008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