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0D2E5A"/>
          <w:sz w:val="72"/>
          <w:szCs w:val="72"/>
        </w:rPr>
        <w:t xml:space="preserve">FinSight RAG</w:t>
      </w:r>
    </w:p>
    <w:p>
      <w:pPr>
        <w:spacing w:before="0" w:after="80"/>
        <w:jc w:val="center"/>
      </w:pPr>
      <w:r>
        <w:rPr>
          <w:rFonts w:ascii="Arial" w:cs="Arial" w:eastAsia="Arial" w:hAnsi="Arial"/>
          <w:b/>
          <w:bCs/>
          <w:color w:val="2E86AB"/>
          <w:sz w:val="44"/>
          <w:szCs w:val="44"/>
        </w:rPr>
        <w:t xml:space="preserve">Dataset Master Guide</w:t>
      </w:r>
    </w:p>
    <w:p>
      <w:pPr>
        <w:pBdr>
          <w:bottom w:val="single" w:color="2E86AB" w:sz="8" w:space="4"/>
        </w:pBdr>
        <w:spacing w:before="0" w:after="480"/>
        <w:jc w:val="center"/>
      </w:pPr>
      <w:r>
        <w:rPr>
          <w:rFonts w:ascii="Arial" w:cs="Arial" w:eastAsia="Arial" w:hAnsi="Arial"/>
          <w:i/>
          <w:iCs/>
          <w:color w:val="555555"/>
          <w:sz w:val="22"/>
          <w:szCs w:val="22"/>
        </w:rPr>
        <w:t xml:space="preserve">All datasets across 4 pipeline layers — Document Corpus, QA Evaluation, Tunix Training &amp; Benchmarking</w:t>
      </w:r>
    </w:p>
    <w:p>
      <w:pPr>
        <w:spacing w:before="40" w:after="40"/>
      </w:pPr>
      <w:r>
        <w:t xml:space="preserve"/>
      </w:r>
    </w:p>
    <w:p>
      <w:pPr>
        <w:pStyle w:val="Heading1"/>
        <w:pBdr>
          <w:bottom w:val="single" w:color="2E86AB" w:sz="6" w:space="4"/>
        </w:pBdr>
        <w:spacing w:before="360" w:after="160"/>
      </w:pPr>
      <w:r>
        <w:rPr>
          <w:rFonts w:ascii="Arial" w:cs="Arial" w:eastAsia="Arial" w:hAnsi="Arial"/>
          <w:b/>
          <w:bCs/>
          <w:color w:val="0D2E5A"/>
          <w:sz w:val="36"/>
          <w:szCs w:val="36"/>
        </w:rPr>
        <w:t xml:space="preserve">Overview: 4-Layer Dataset Architecture</w:t>
      </w:r>
    </w:p>
    <w:p>
      <w:pPr>
        <w:spacing w:before="60" w:after="60"/>
      </w:pPr>
      <w:r>
        <w:rPr>
          <w:rFonts w:ascii="Arial" w:cs="Arial" w:eastAsia="Arial" w:hAnsi="Arial"/>
          <w:color w:val="222222"/>
          <w:sz w:val="22"/>
          <w:szCs w:val="22"/>
        </w:rPr>
        <w:t xml:space="preserve">FinSight RAG requires datasets across four distinct pipeline layers. Each layer serves a different engineering purpose — from what gets searched, to how the model is evaluated, fine-tuned, and benchmarked publicly. This guide covers every dataset you need, where to get it, and exactly how to use it in the project.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240"/>
        <w:gridCol w:w="3200"/>
      </w:tblGrid>
      <w:tr>
        <w:trPr>
          <w:tblHeader/>
        </w:trPr>
        <w:tc>
          <w:tcPr>
            <w:tcW w:type="dxa" w:w="72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Name</w:t>
            </w:r>
          </w:p>
        </w:tc>
        <w:tc>
          <w:tcPr>
            <w:tcW w:type="dxa" w:w="324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Purpose</w:t>
            </w:r>
          </w:p>
        </w:tc>
        <w:tc>
          <w:tcPr>
            <w:tcW w:type="dxa" w:w="320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Total Scale</w:t>
            </w:r>
          </w:p>
        </w:tc>
      </w:tr>
      <w:tr>
        <w:tc>
          <w:tcPr>
            <w:tcW w:type="dxa" w:w="72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Document Corpus</w:t>
            </w:r>
          </w:p>
        </w:tc>
        <w:tc>
          <w:tcPr>
            <w:tcW w:type="dxa" w:w="324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Raw source documents ingested into FAISS / Pinecone vector store</w:t>
            </w:r>
          </w:p>
        </w:tc>
        <w:tc>
          <w:tcPr>
            <w:tcW w:type="dxa" w:w="32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100-200 PDFs from SEC EDGAR, CFPB, FDIC, FinCEN</w:t>
            </w:r>
          </w:p>
        </w:tc>
      </w:tr>
      <w:tr>
        <w:tc>
          <w:tcPr>
            <w:tcW w:type="dxa" w:w="720"/>
            <w:tcBorders>
              <w:top w:val="single" w:color="CCCCCC" w:sz="1"/>
              <w:left w:val="single" w:color="CCCCCC" w:sz="1"/>
              <w:bottom w:val="single" w:color="CCCCCC" w:sz="1"/>
              <w:right w:val="single" w:color="CCCCCC" w:sz="1"/>
            </w:tcBorders>
            <w:shd w:fill="1A7A4E"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2</w:t>
            </w:r>
          </w:p>
        </w:tc>
        <w:tc>
          <w:tcPr>
            <w:tcW w:type="dxa" w:w="22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QA Evaluation</w:t>
            </w:r>
          </w:p>
        </w:tc>
        <w:tc>
          <w:tcPr>
            <w:tcW w:type="dxa" w:w="324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Golden Q&amp;A pairs for RAGAS metrics (faithfulness, precision, recall)</w:t>
            </w:r>
          </w:p>
        </w:tc>
        <w:tc>
          <w:tcPr>
            <w:tcW w:type="dxa" w:w="32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10,000+ pairs across 4 HuggingFace datasets</w:t>
            </w:r>
          </w:p>
        </w:tc>
      </w:tr>
      <w:tr>
        <w:tc>
          <w:tcPr>
            <w:tcW w:type="dxa" w:w="720"/>
            <w:tcBorders>
              <w:top w:val="single" w:color="CCCCCC" w:sz="1"/>
              <w:left w:val="single" w:color="CCCCCC" w:sz="1"/>
              <w:bottom w:val="single" w:color="CCCCCC" w:sz="1"/>
              <w:right w:val="single" w:color="CCCCCC" w:sz="1"/>
            </w:tcBorders>
            <w:shd w:fill="5C3D8F"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3</w:t>
            </w:r>
          </w:p>
        </w:tc>
        <w:tc>
          <w:tcPr>
            <w:tcW w:type="dxa" w:w="22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Tunix Training</w:t>
            </w:r>
          </w:p>
        </w:tc>
        <w:tc>
          <w:tcPr>
            <w:tcW w:type="dxa" w:w="324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SFT instruction pairs + DPO preference pairs for model alignment</w:t>
            </w:r>
          </w:p>
        </w:tc>
        <w:tc>
          <w:tcPr>
            <w:tcW w:type="dxa" w:w="32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1,000 SFT pairs + 300-500 DPO pairs</w:t>
            </w:r>
          </w:p>
        </w:tc>
      </w:tr>
      <w:tr>
        <w:tc>
          <w:tcPr>
            <w:tcW w:type="dxa" w:w="720"/>
            <w:tcBorders>
              <w:top w:val="single" w:color="CCCCCC" w:sz="1"/>
              <w:left w:val="single" w:color="CCCCCC" w:sz="1"/>
              <w:bottom w:val="single" w:color="CCCCCC" w:sz="1"/>
              <w:right w:val="single" w:color="CCCCCC" w:sz="1"/>
            </w:tcBorders>
            <w:shd w:fill="B85C00"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4</w:t>
            </w:r>
          </w:p>
        </w:tc>
        <w:tc>
          <w:tcPr>
            <w:tcW w:type="dxa" w:w="22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Benchmarking</w:t>
            </w:r>
          </w:p>
        </w:tc>
        <w:tc>
          <w:tcPr>
            <w:tcW w:type="dxa" w:w="324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Standard financial NLP benchmarks for before/after model comparison</w:t>
            </w:r>
          </w:p>
        </w:tc>
        <w:tc>
          <w:tcPr>
            <w:tcW w:type="dxa" w:w="32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Open FinLLM Leaderboard: 7 task categories</w:t>
            </w:r>
          </w:p>
        </w:tc>
      </w:tr>
    </w:tbl>
    <w:p>
      <w:pPr>
        <w:spacing w:before="40" w:after="40"/>
      </w:pPr>
      <w:r>
        <w:t xml:space="preserve"/>
      </w:r>
    </w:p>
    <w:p>
      <w:pPr>
        <w:spacing w:before="40" w:after="40"/>
      </w:pPr>
      <w:r>
        <w:t xml:space="preserve"/>
      </w:r>
    </w:p>
    <w:p>
      <w:r>
        <w:br w:type="page"/>
      </w:r>
    </w:p>
    <w:p>
      <w:pPr>
        <w:pStyle w:val="Heading1"/>
        <w:pBdr>
          <w:bottom w:val="single" w:color="2E86AB" w:sz="6" w:space="4"/>
        </w:pBdr>
        <w:spacing w:before="360" w:after="160"/>
      </w:pPr>
      <w:r>
        <w:rPr>
          <w:rFonts w:ascii="Arial" w:cs="Arial" w:eastAsia="Arial" w:hAnsi="Arial"/>
          <w:b/>
          <w:bCs/>
          <w:color w:val="0D2E5A"/>
          <w:sz w:val="36"/>
          <w:szCs w:val="36"/>
        </w:rPr>
        <w:t xml:space="preserve">Layer 1 — Document Corpus</w:t>
      </w:r>
    </w:p>
    <w:p>
      <w:pPr>
        <w:spacing w:before="60" w:after="60"/>
      </w:pPr>
      <w:r>
        <w:rPr>
          <w:rFonts w:ascii="Arial" w:cs="Arial" w:eastAsia="Arial" w:hAnsi="Arial"/>
          <w:color w:val="222222"/>
          <w:sz w:val="22"/>
          <w:szCs w:val="22"/>
        </w:rPr>
        <w:t xml:space="preserve">This is the raw document collection that gets ingested into your vector store. It forms the knowledge base that RAG searches over at query time. All sources are freely and publicly available — no accounts or licenses needed.</w:t>
      </w:r>
    </w:p>
    <w:p>
      <w:pPr>
        <w:spacing w:before="40" w:after="40"/>
      </w:pPr>
      <w:r>
        <w:t xml:space="preserve"/>
      </w:r>
    </w:p>
    <w:p>
      <w:pPr>
        <w:pStyle w:val="Heading2"/>
        <w:spacing w:before="260" w:after="100"/>
      </w:pPr>
      <w:r>
        <w:rPr>
          <w:rFonts w:ascii="Arial" w:cs="Arial" w:eastAsia="Arial" w:hAnsi="Arial"/>
          <w:b/>
          <w:bCs/>
          <w:color w:val="1B4F8A"/>
          <w:sz w:val="28"/>
          <w:szCs w:val="28"/>
        </w:rPr>
        <w:t xml:space="preserve">1.1  SEC EDGAR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30"/>
              <w:bottom w:type="dxa" w:w="80"/>
              <w:right w:type="dxa" w:w="130"/>
            </w:tcMar>
          </w:tcPr>
          <w:p>
            <w:r>
              <w:rPr>
                <w:rFonts w:ascii="Arial" w:cs="Arial" w:eastAsia="Arial" w:hAnsi="Arial"/>
                <w:b/>
                <w:bCs/>
                <w:color w:val="FFFFFF"/>
                <w:sz w:val="20"/>
                <w:szCs w:val="20"/>
              </w:rPr>
              <w:t xml:space="preserve">Source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sz w:val="20"/>
                <w:szCs w:val="20"/>
              </w:rPr>
              <w:t xml:space="preserve">https://edgar.sec.gov/cgi-bin/browse-edgar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30"/>
              <w:bottom w:type="dxa" w:w="80"/>
              <w:right w:type="dxa" w:w="130"/>
            </w:tcMar>
          </w:tcPr>
          <w:p>
            <w:r>
              <w:rPr>
                <w:rFonts w:ascii="Arial" w:cs="Arial" w:eastAsia="Arial" w:hAnsi="Arial"/>
                <w:b/>
                <w:bCs/>
                <w:color w:val="FFFFFF"/>
                <w:sz w:val="20"/>
                <w:szCs w:val="20"/>
              </w:rPr>
              <w:t xml:space="preserve">Format</w:t>
            </w:r>
          </w:p>
        </w:tc>
        <w:tc>
          <w:tcPr>
            <w:tcW w:type="dxa" w:w="73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sz w:val="20"/>
                <w:szCs w:val="20"/>
              </w:rPr>
              <w:t xml:space="preserve">HTML (convert to PDF/text via EDGAR full-text API or sec-edgar-downloader Python package)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7A4E" w:val="clear"/>
            <w:tcMar>
              <w:top w:type="dxa" w:w="80"/>
              <w:left w:type="dxa" w:w="130"/>
              <w:bottom w:type="dxa" w:w="80"/>
              <w:right w:type="dxa" w:w="130"/>
            </w:tcMar>
          </w:tcPr>
          <w:p>
            <w:r>
              <w:rPr>
                <w:rFonts w:ascii="Arial" w:cs="Arial" w:eastAsia="Arial" w:hAnsi="Arial"/>
                <w:b/>
                <w:bCs/>
                <w:color w:val="FFFFFF"/>
                <w:sz w:val="20"/>
                <w:szCs w:val="20"/>
              </w:rPr>
              <w:t xml:space="preserve">License</w:t>
            </w:r>
          </w:p>
        </w:tc>
        <w:tc>
          <w:tcPr>
            <w:tcW w:type="dxa" w:w="7360"/>
            <w:tcBorders>
              <w:top w:val="single" w:color="CCCCCC" w:sz="1"/>
              <w:left w:val="single" w:color="CCCCCC" w:sz="1"/>
              <w:bottom w:val="single" w:color="CCCCCC" w:sz="1"/>
              <w:right w:val="single" w:color="CCCCCC" w:sz="1"/>
            </w:tcBorders>
            <w:shd w:fill="D4EDDA" w:val="clear"/>
            <w:tcMar>
              <w:top w:type="dxa" w:w="80"/>
              <w:left w:type="dxa" w:w="130"/>
              <w:bottom w:type="dxa" w:w="80"/>
              <w:right w:type="dxa" w:w="130"/>
            </w:tcMar>
          </w:tcPr>
          <w:p>
            <w:r>
              <w:rPr>
                <w:rFonts w:ascii="Arial" w:cs="Arial" w:eastAsia="Arial" w:hAnsi="Arial"/>
                <w:sz w:val="20"/>
                <w:szCs w:val="20"/>
              </w:rPr>
              <w:t xml:space="preserve">Public domain — U.S. government works, no restrictions</w:t>
            </w:r>
          </w:p>
        </w:tc>
      </w:tr>
    </w:tbl>
    <w:p>
      <w:pPr>
        <w:spacing w:before="40" w:after="40"/>
      </w:pPr>
      <w:r>
        <w:t xml:space="preserve"/>
      </w:r>
    </w:p>
    <w:p>
      <w:pPr>
        <w:spacing w:before="60" w:after="60"/>
      </w:pPr>
      <w:r>
        <w:rPr>
          <w:rFonts w:ascii="Arial" w:cs="Arial" w:eastAsia="Arial" w:hAnsi="Arial"/>
          <w:color w:val="222222"/>
          <w:sz w:val="22"/>
          <w:szCs w:val="22"/>
        </w:rPr>
        <w:t xml:space="preserve">The single most important source for FinSight RAG. EDGAR contains every SEC filing from every public company. For a fintech-focused corpus, prioritise these filing types:</w:t>
      </w:r>
    </w:p>
    <w:p>
      <w:pPr>
        <w:pStyle w:val="ListParagraph"/>
        <w:numPr>
          <w:ilvl w:val="0"/>
          <w:numId w:val="2"/>
        </w:numPr>
        <w:spacing w:before="40" w:after="40"/>
      </w:pPr>
      <w:r>
        <w:rPr>
          <w:rFonts w:ascii="Arial" w:cs="Arial" w:eastAsia="Arial" w:hAnsi="Arial"/>
          <w:sz w:val="22"/>
          <w:szCs w:val="22"/>
        </w:rPr>
        <w:t xml:space="preserve">10-K (Annual Report) — risk factors, MD&amp;A, financial statements, audit notes</w:t>
      </w:r>
    </w:p>
    <w:p>
      <w:pPr>
        <w:pStyle w:val="ListParagraph"/>
        <w:numPr>
          <w:ilvl w:val="0"/>
          <w:numId w:val="2"/>
        </w:numPr>
        <w:spacing w:before="40" w:after="40"/>
      </w:pPr>
      <w:r>
        <w:rPr>
          <w:rFonts w:ascii="Arial" w:cs="Arial" w:eastAsia="Arial" w:hAnsi="Arial"/>
          <w:sz w:val="22"/>
          <w:szCs w:val="22"/>
        </w:rPr>
        <w:t xml:space="preserve">10-Q (Quarterly Report) — interim financials, updated risk disclosures</w:t>
      </w:r>
    </w:p>
    <w:p>
      <w:pPr>
        <w:pStyle w:val="ListParagraph"/>
        <w:numPr>
          <w:ilvl w:val="0"/>
          <w:numId w:val="2"/>
        </w:numPr>
        <w:spacing w:before="40" w:after="40"/>
      </w:pPr>
      <w:r>
        <w:rPr>
          <w:rFonts w:ascii="Arial" w:cs="Arial" w:eastAsia="Arial" w:hAnsi="Arial"/>
          <w:sz w:val="22"/>
          <w:szCs w:val="22"/>
        </w:rPr>
        <w:t xml:space="preserve">8-K (Current Report) — material events: leadership changes, restatements, M&amp;A</w:t>
      </w:r>
    </w:p>
    <w:p>
      <w:pPr>
        <w:pStyle w:val="ListParagraph"/>
        <w:numPr>
          <w:ilvl w:val="0"/>
          <w:numId w:val="2"/>
        </w:numPr>
        <w:spacing w:before="40" w:after="40"/>
      </w:pPr>
      <w:r>
        <w:rPr>
          <w:rFonts w:ascii="Arial" w:cs="Arial" w:eastAsia="Arial" w:hAnsi="Arial"/>
          <w:sz w:val="22"/>
          <w:szCs w:val="22"/>
        </w:rPr>
        <w:t xml:space="preserve">DEF 14A (Proxy Statement) — executive compensation, governance</w:t>
      </w:r>
    </w:p>
    <w:p>
      <w:pPr>
        <w:spacing w:before="40" w:after="40"/>
      </w:pPr>
      <w:r>
        <w:t xml:space="preserve"/>
      </w:r>
    </w:p>
    <w:p>
      <w:pPr>
        <w:spacing w:before="60" w:after="60"/>
      </w:pPr>
      <w:r>
        <w:rPr>
          <w:rFonts w:ascii="Arial" w:cs="Arial" w:eastAsia="Arial" w:hAnsi="Arial"/>
          <w:color w:val="222222"/>
          <w:sz w:val="22"/>
          <w:szCs w:val="22"/>
        </w:rPr>
        <w:t xml:space="preserve">Recommended companies to download for a fintech corpus: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Company</w:t>
            </w:r>
          </w:p>
        </w:tc>
        <w:tc>
          <w:tcPr>
            <w:tcW w:type="dxa" w:w="312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Ticker</w:t>
            </w:r>
          </w:p>
        </w:tc>
        <w:tc>
          <w:tcPr>
            <w:tcW w:type="dxa" w:w="312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Why Relevant</w:t>
            </w:r>
          </w:p>
        </w:tc>
      </w:tr>
      <w:tr>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Fiserv</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Direct target company for portfolio</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Visa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V</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Payment network, regulatory disclosures</w:t>
            </w:r>
          </w:p>
        </w:tc>
      </w:tr>
      <w:tr>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Mastercard</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MA</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Cross-border compliance, risk factors</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PayPal</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PYPL</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Fintech-native, AML/KYC disclosures</w:t>
            </w:r>
          </w:p>
        </w:tc>
      </w:tr>
      <w:tr>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JPMorgan Chase</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JPM</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Largest bank, comprehensive compliance docs</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Block (Square)</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SQ</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Crypto + payments compliance complexity</w:t>
            </w:r>
          </w:p>
        </w:tc>
      </w:tr>
      <w:tr>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Stripe (S-1 draft)</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Private</w:t>
            </w:r>
          </w:p>
        </w:tc>
        <w:tc>
          <w:tcPr>
            <w:tcW w:type="dxa" w:w="3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Fintech risk language, regulatory framework</w:t>
            </w:r>
          </w:p>
        </w:tc>
      </w:tr>
    </w:tbl>
    <w:p>
      <w:pPr>
        <w:spacing w:before="40" w:after="40"/>
      </w:pPr>
      <w:r>
        <w:t xml:space="preserve"/>
      </w:r>
    </w:p>
    <w:p>
      <w:pPr>
        <w:spacing w:before="60" w:after="60"/>
      </w:pPr>
      <w:r>
        <w:rPr>
          <w:rFonts w:ascii="Arial" w:cs="Arial" w:eastAsia="Arial" w:hAnsi="Arial"/>
          <w:color w:val="222222"/>
          <w:sz w:val="22"/>
          <w:szCs w:val="22"/>
        </w:rPr>
        <w:t xml:space="preserve">Quick download script using sec-edgar-downloader: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20"/>
            </w:pPr>
            <w:r>
              <w:rPr>
                <w:rFonts w:ascii="Courier New" w:cs="Courier New" w:eastAsia="Courier New" w:hAnsi="Courier New"/>
                <w:color w:val="A8D8A8"/>
                <w:sz w:val="18"/>
                <w:szCs w:val="18"/>
              </w:rPr>
              <w:t xml:space="preserve">from sec_edgar_downloader import Downloader</w:t>
            </w:r>
          </w:p>
          <w:p>
            <w:pPr>
              <w:spacing w:before="0" w:after="20"/>
            </w:pPr>
            <w:r>
              <w:rPr>
                <w:rFonts w:ascii="Courier New" w:cs="Courier New" w:eastAsia="Courier New" w:hAnsi="Courier New"/>
                <w:color w:val="A8D8A8"/>
                <w:sz w:val="18"/>
                <w:szCs w:val="18"/>
              </w:rPr>
              <w:t xml:space="preserve">dl = Downloader('FinSightRAG', 'you@email.com', 'data/raw/')</w:t>
            </w:r>
          </w:p>
          <w:p>
            <w:pPr>
              <w:spacing w:before="0" w:after="20"/>
            </w:pPr>
            <w:r>
              <w:rPr>
                <w:rFonts w:ascii="Courier New" w:cs="Courier New" w:eastAsia="Courier New" w:hAnsi="Courier New"/>
                <w:color w:val="A8D8A8"/>
                <w:sz w:val="18"/>
                <w:szCs w:val="18"/>
              </w:rPr>
              <w:t xml:space="preserve">for ticker in ['FI', 'V', 'MA', 'PYPL', 'JPM', 'SQ']:</w:t>
            </w:r>
          </w:p>
          <w:p>
            <w:pPr>
              <w:spacing w:before="0" w:after="20"/>
            </w:pPr>
            <w:r>
              <w:rPr>
                <w:rFonts w:ascii="Courier New" w:cs="Courier New" w:eastAsia="Courier New" w:hAnsi="Courier New"/>
                <w:color w:val="A8D8A8"/>
                <w:sz w:val="18"/>
                <w:szCs w:val="18"/>
              </w:rPr>
              <w:t xml:space="preserve">    dl.get('10-K', ticker, limit=5)  # last 5 years</w:t>
            </w:r>
          </w:p>
          <w:p>
            <w:pPr>
              <w:spacing w:before="0" w:after="0"/>
            </w:pPr>
            <w:r>
              <w:rPr>
                <w:rFonts w:ascii="Courier New" w:cs="Courier New" w:eastAsia="Courier New" w:hAnsi="Courier New"/>
                <w:color w:val="A8D8A8"/>
                <w:sz w:val="18"/>
                <w:szCs w:val="18"/>
              </w:rPr>
              <w:t xml:space="preserve">    dl.get('10-Q', ticker, limit=8)</w:t>
            </w:r>
          </w:p>
        </w:tc>
      </w:tr>
    </w:tbl>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1B4F8A"/>
          <w:sz w:val="28"/>
          <w:szCs w:val="28"/>
        </w:rPr>
        <w:t xml:space="preserve">1.2  Regulatory &amp; Compliance PDFs</w:t>
      </w:r>
    </w:p>
    <w:p>
      <w:pPr>
        <w:spacing w:before="60" w:after="60"/>
      </w:pPr>
      <w:r>
        <w:rPr>
          <w:rFonts w:ascii="Arial" w:cs="Arial" w:eastAsia="Arial" w:hAnsi="Arial"/>
          <w:color w:val="222222"/>
          <w:sz w:val="22"/>
          <w:szCs w:val="22"/>
        </w:rPr>
        <w:t xml:space="preserve">These free government documents cover the AML, KYC, and BSA compliance topics that Fiserv clients care about most: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432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Source</w:t>
            </w:r>
          </w:p>
        </w:tc>
        <w:tc>
          <w:tcPr>
            <w:tcW w:type="dxa" w:w="264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Document Type</w:t>
            </w:r>
          </w:p>
        </w:tc>
        <w:tc>
          <w:tcPr>
            <w:tcW w:type="dxa" w:w="432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URL / Notes</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FinCEN</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BSA/AML guidelines, SARs</w:t>
            </w:r>
          </w:p>
        </w:tc>
        <w:tc>
          <w:tcPr>
            <w:tcW w:type="dxa" w:w="4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fincen.gov/resources/advisories — advisories and guidance PDFs</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CFPB</w:t>
            </w:r>
          </w:p>
        </w:tc>
        <w:tc>
          <w:tcPr>
            <w:tcW w:type="dxa" w:w="26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Consumer finance rules</w:t>
            </w:r>
          </w:p>
        </w:tc>
        <w:tc>
          <w:tcPr>
            <w:tcW w:type="dxa" w:w="43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consumerfinance.gov/rules-policy — all rules in PDF format</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FDIC</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Bank examination manual</w:t>
            </w:r>
          </w:p>
        </w:tc>
        <w:tc>
          <w:tcPr>
            <w:tcW w:type="dxa" w:w="4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fdic.gov/regulations/compliance — compliance examination manual</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OCC</w:t>
            </w:r>
          </w:p>
        </w:tc>
        <w:tc>
          <w:tcPr>
            <w:tcW w:type="dxa" w:w="26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Risk management guidance</w:t>
            </w:r>
          </w:p>
        </w:tc>
        <w:tc>
          <w:tcPr>
            <w:tcW w:type="dxa" w:w="43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occ.gov/publications-and-resources — comptroller handbooks</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FINRA</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Broker-dealer rules</w:t>
            </w:r>
          </w:p>
        </w:tc>
        <w:tc>
          <w:tcPr>
            <w:tcW w:type="dxa" w:w="4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finra.org/rules-guidance — full rulebook downloadable as PDF</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Federal Reserve</w:t>
            </w:r>
          </w:p>
        </w:tc>
        <w:tc>
          <w:tcPr>
            <w:tcW w:type="dxa" w:w="26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Bank supervision manuals</w:t>
            </w:r>
          </w:p>
        </w:tc>
        <w:tc>
          <w:tcPr>
            <w:tcW w:type="dxa" w:w="432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federalreserve.gov/supervisionreg — supervisory guidance</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Basel Committee</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Basel III / IV frameworks</w:t>
            </w:r>
          </w:p>
        </w:tc>
        <w:tc>
          <w:tcPr>
            <w:tcW w:type="dxa" w:w="4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bis.org/bcbs/publications — all BIS publications free</w:t>
            </w:r>
          </w:p>
        </w:tc>
      </w:tr>
    </w:tbl>
    <w:p>
      <w:pPr>
        <w:spacing w:before="40" w:after="40"/>
      </w:pPr>
      <w:r>
        <w:t xml:space="preserve"/>
      </w:r>
    </w:p>
    <w:p>
      <w:pPr>
        <w:spacing w:before="40" w:after="40"/>
      </w:pPr>
      <w:r>
        <w:t xml:space="preserve"/>
      </w:r>
    </w:p>
    <w:p>
      <w:r>
        <w:br w:type="page"/>
      </w:r>
    </w:p>
    <w:p>
      <w:pPr>
        <w:pStyle w:val="Heading1"/>
        <w:pBdr>
          <w:bottom w:val="single" w:color="2E86AB" w:sz="6" w:space="4"/>
        </w:pBdr>
        <w:spacing w:before="360" w:after="160"/>
      </w:pPr>
      <w:r>
        <w:rPr>
          <w:rFonts w:ascii="Arial" w:cs="Arial" w:eastAsia="Arial" w:hAnsi="Arial"/>
          <w:b/>
          <w:bCs/>
          <w:color w:val="0D2E5A"/>
          <w:sz w:val="36"/>
          <w:szCs w:val="36"/>
        </w:rPr>
        <w:t xml:space="preserve">Layer 2 — QA Evaluation Datasets</w:t>
      </w:r>
    </w:p>
    <w:p>
      <w:pPr>
        <w:spacing w:before="60" w:after="60"/>
      </w:pPr>
      <w:r>
        <w:rPr>
          <w:rFonts w:ascii="Arial" w:cs="Arial" w:eastAsia="Arial" w:hAnsi="Arial"/>
          <w:color w:val="222222"/>
          <w:sz w:val="22"/>
          <w:szCs w:val="22"/>
        </w:rPr>
        <w:t xml:space="preserve">These HuggingFace datasets provide ready-made question-answer pairs for RAGAS evaluation. Combined, they give you 10,000+ pairs to curate your golden set from — no manual annotation needed to get started.</w:t>
      </w:r>
    </w:p>
    <w:p>
      <w:pPr>
        <w:spacing w:before="40" w:after="40"/>
      </w:pPr>
      <w:r>
        <w:t xml:space="preserve"/>
      </w:r>
    </w:p>
    <w:p>
      <w:pPr>
        <w:pStyle w:val="Heading2"/>
        <w:spacing w:before="260" w:after="100"/>
      </w:pPr>
      <w:r>
        <w:rPr>
          <w:rFonts w:ascii="Arial" w:cs="Arial" w:eastAsia="Arial" w:hAnsi="Arial"/>
          <w:b/>
          <w:bCs/>
          <w:color w:val="1B4F8A"/>
          <w:sz w:val="28"/>
          <w:szCs w:val="28"/>
        </w:rPr>
        <w:t xml:space="preserve">2.1  FinanceBench  ★  Primary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9360"/>
            <w:gridSpan w:val="4"/>
            <w:tcBorders>
              <w:top w:val="single" w:color="CCCCCC" w:sz="1"/>
              <w:left w:val="single" w:color="CCCCCC" w:sz="1"/>
              <w:bottom w:val="single" w:color="CCCCCC" w:sz="1"/>
              <w:right w:val="single" w:color="CCCCCC" w:sz="1"/>
            </w:tcBorders>
            <w:shd w:fill="1A7A4E" w:val="clear"/>
            <w:tcMar>
              <w:top w:type="dxa" w:w="100"/>
              <w:left w:type="dxa" w:w="160"/>
              <w:bottom w:type="dxa" w:w="100"/>
              <w:right w:type="dxa" w:w="160"/>
            </w:tcMar>
          </w:tcPr>
          <w:p>
            <w:pPr>
              <w:spacing w:before="0" w:after="0"/>
            </w:pPr>
            <w:r>
              <w:rPr>
                <w:rFonts w:ascii="Arial" w:cs="Arial" w:eastAsia="Arial" w:hAnsi="Arial"/>
                <w:b/>
                <w:bCs/>
                <w:color w:val="FFFFFF"/>
                <w:sz w:val="26"/>
                <w:szCs w:val="26"/>
              </w:rPr>
              <w:t xml:space="preserve">FinanceBench  </w:t>
            </w:r>
            <w:r>
              <w:rPr>
                <w:rFonts w:ascii="Arial" w:cs="Arial" w:eastAsia="Arial" w:hAnsi="Arial"/>
                <w:b/>
                <w:bCs/>
                <w:color w:val="FFFFFF"/>
                <w:sz w:val="20"/>
                <w:szCs w:val="20"/>
              </w:rPr>
              <w:t xml:space="preserve">PRIMARY — Use This First</w:t>
            </w:r>
          </w:p>
        </w:tc>
      </w:tr>
      <w:tr>
        <w:tc>
          <w:tcPr>
            <w:tcW w:type="dxa" w:w="2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HuggingFace: PatronusAI/financebench</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Size: 150 annotated examples (open sample)</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License: CC BY 4.0</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Use: RAGAS golden set, RAGAS CI/CD eval</w:t>
            </w:r>
          </w:p>
        </w:tc>
      </w:tr>
      <w:tr>
        <w:tc>
          <w:tcPr>
            <w:tcW w:type="dxa" w:w="9360"/>
            <w:gridSpan w:val="4"/>
            <w:tcBorders>
              <w:top w:val="single" w:color="CCCCCC" w:sz="1"/>
              <w:left w:val="single" w:color="CCCCCC" w:sz="1"/>
              <w:bottom w:val="single" w:color="CCCCCC" w:sz="1"/>
              <w:right w:val="single" w:color="CCCCCC" w:sz="1"/>
            </w:tcBorders>
            <w:tcMar>
              <w:top w:type="dxa" w:w="90"/>
              <w:left w:type="dxa" w:w="160"/>
              <w:bottom w:type="dxa" w:w="90"/>
              <w:right w:type="dxa" w:w="160"/>
            </w:tcMar>
          </w:tcPr>
          <w:p>
            <w:pPr>
              <w:spacing w:before="0" w:after="0"/>
            </w:pPr>
            <w:r>
              <w:rPr>
                <w:rFonts w:ascii="Arial" w:cs="Arial" w:eastAsia="Arial" w:hAnsi="Arial"/>
                <w:sz w:val="20"/>
                <w:szCs w:val="20"/>
              </w:rPr>
              <w:t xml:space="preserve">The most important dataset for FinSight RAG. A first-of-its-kind test suite specifically designed to evaluate LLMs on open-book financial QA. Questions are about publicly traded companies with corresponding answers and evidence strings from real SEC filings. Questions are designed to be clear-cut, realistic, and represent minimum performance standards for production financial AI.</w:t>
            </w:r>
          </w:p>
        </w:tc>
      </w:tr>
      <w:tr>
        <w:tc>
          <w:tcPr>
            <w:tcW w:type="dxa" w:w="180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Contains</w:t>
            </w:r>
          </w:p>
        </w:tc>
        <w:tc>
          <w:tcPr>
            <w:tcW w:type="dxa" w:w="7560"/>
            <w:gridSpan w:val="3"/>
            <w:tcBorders>
              <w:top w:val="single" w:color="CCCCCC" w:sz="1"/>
              <w:left w:val="single" w:color="CCCCCC" w:sz="1"/>
              <w:bottom w:val="single" w:color="CCCCCC" w:sz="1"/>
              <w:right w:val="single" w:color="CCCCCC" w:sz="1"/>
            </w:tcBorders>
            <w:shd w:fill="D6E4F0" w:val="clear"/>
            <w:tcMar>
              <w:top w:type="dxa" w:w="90"/>
              <w:left w:type="dxa" w:w="160"/>
              <w:bottom w:type="dxa" w:w="90"/>
              <w:right w:type="dxa" w:w="160"/>
            </w:tcMar>
          </w:tcPr>
          <w:p>
            <w:pPr>
              <w:spacing w:before="0" w:after="0"/>
            </w:pPr>
            <w:r>
              <w:rPr>
                <w:rFonts w:ascii="Arial" w:cs="Arial" w:eastAsia="Arial" w:hAnsi="Arial"/>
                <w:sz w:val="20"/>
                <w:szCs w:val="20"/>
              </w:rPr>
              <w:t xml:space="preserve">150 QA pairs with questions, ground-truth answers, evidence strings, and source PDF links. Questions cover revenue figures, risk factor summaries, debt obligations, executive compensation, and compliance disclosures.</w:t>
            </w:r>
          </w:p>
        </w:tc>
      </w:tr>
      <w:tr>
        <w:tc>
          <w:tcPr>
            <w:tcW w:type="dxa" w:w="1800"/>
            <w:tcBorders>
              <w:top w:val="single" w:color="CCCCCC" w:sz="1"/>
              <w:left w:val="single" w:color="CCCCCC" w:sz="1"/>
              <w:bottom w:val="single" w:color="CCCCCC" w:sz="1"/>
              <w:right w:val="single" w:color="CCCCCC" w:sz="1"/>
            </w:tcBorders>
            <w:shd w:fill="1A7A4E"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FinSight Use</w:t>
            </w:r>
          </w:p>
        </w:tc>
        <w:tc>
          <w:tcPr>
            <w:tcW w:type="dxa" w:w="7560"/>
            <w:gridSpan w:val="3"/>
            <w:tcBorders>
              <w:top w:val="single" w:color="CCCCCC" w:sz="1"/>
              <w:left w:val="single" w:color="CCCCCC" w:sz="1"/>
              <w:bottom w:val="single" w:color="CCCCCC" w:sz="1"/>
              <w:right w:val="single" w:color="CCCCCC" w:sz="1"/>
            </w:tcBorders>
            <w:shd w:fill="F0EAF9" w:val="clear"/>
            <w:tcMar>
              <w:top w:type="dxa" w:w="90"/>
              <w:left w:type="dxa" w:w="160"/>
              <w:bottom w:type="dxa" w:w="90"/>
              <w:right w:type="dxa" w:w="160"/>
            </w:tcMar>
          </w:tcPr>
          <w:p>
            <w:pPr>
              <w:spacing w:before="0" w:after="0"/>
            </w:pPr>
            <w:r>
              <w:rPr>
                <w:rFonts w:ascii="Arial" w:cs="Arial" w:eastAsia="Arial" w:hAnsi="Arial"/>
                <w:sz w:val="20"/>
                <w:szCs w:val="20"/>
              </w:rPr>
              <w:t xml:space="preserve">This IS your RAGAS golden set out of the box. Load it directly as the evaluation benchmark for faithfulness, context precision, and answer relevancy. Also use it as your base Tunix SFT dataset — answers are already verified and cited.</w:t>
            </w:r>
          </w:p>
        </w:tc>
      </w:tr>
      <w:tr>
        <w:tc>
          <w:tcPr>
            <w:tcW w:type="dxa" w:w="1800"/>
            <w:tcBorders>
              <w:top w:val="single" w:color="CCCCCC" w:sz="1"/>
              <w:left w:val="single" w:color="CCCCCC" w:sz="1"/>
              <w:bottom w:val="single" w:color="CCCCCC" w:sz="1"/>
              <w:right w:val="single" w:color="CCCCCC" w:sz="1"/>
            </w:tcBorders>
            <w:shd w:fill="2D2D2D"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Load Code</w:t>
            </w:r>
          </w:p>
        </w:tc>
        <w:tc>
          <w:tcPr>
            <w:tcW w:type="dxa" w:w="7560"/>
            <w:gridSpan w:val="3"/>
            <w:tcBorders>
              <w:top w:val="single" w:color="CCCCCC" w:sz="1"/>
              <w:left w:val="single" w:color="CCCCCC" w:sz="1"/>
              <w:bottom w:val="single" w:color="CCCCCC" w:sz="1"/>
              <w:right w:val="single" w:color="CCCCCC" w:sz="1"/>
            </w:tcBorders>
            <w:shd w:fill="1E1E2E" w:val="clear"/>
            <w:tcMar>
              <w:top w:type="dxa" w:w="90"/>
              <w:left w:type="dxa" w:w="160"/>
              <w:bottom w:type="dxa" w:w="90"/>
              <w:right w:type="dxa" w:w="160"/>
            </w:tcMar>
          </w:tcPr>
          <w:p>
            <w:pPr>
              <w:spacing w:before="0" w:after="0"/>
            </w:pPr>
            <w:r>
              <w:rPr>
                <w:rFonts w:ascii="Courier New" w:cs="Courier New" w:eastAsia="Courier New" w:hAnsi="Courier New"/>
                <w:color w:val="A8D8A8"/>
                <w:sz w:val="18"/>
                <w:szCs w:val="18"/>
              </w:rPr>
              <w:t xml:space="preserve">from datasets import load_dataset
fb = load_dataset('PatronusAI/financebench')
# Each row: question, answer, evidence, company, filing_type, period</w:t>
            </w:r>
          </w:p>
        </w:tc>
      </w:tr>
    </w:tbl>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1B4F8A"/>
          <w:sz w:val="28"/>
          <w:szCs w:val="28"/>
        </w:rPr>
        <w:t xml:space="preserve">2.2  FinQA  —  Numerical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9360"/>
            <w:gridSpan w:val="4"/>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pPr>
              <w:spacing w:before="0" w:after="0"/>
            </w:pPr>
            <w:r>
              <w:rPr>
                <w:rFonts w:ascii="Arial" w:cs="Arial" w:eastAsia="Arial" w:hAnsi="Arial"/>
                <w:b/>
                <w:bCs/>
                <w:color w:val="FFFFFF"/>
                <w:sz w:val="26"/>
                <w:szCs w:val="26"/>
              </w:rPr>
              <w:t xml:space="preserve">FinQA  </w:t>
            </w:r>
            <w:r>
              <w:rPr>
                <w:rFonts w:ascii="Arial" w:cs="Arial" w:eastAsia="Arial" w:hAnsi="Arial"/>
                <w:b/>
                <w:bCs/>
                <w:color w:val="FFFFFF"/>
                <w:sz w:val="20"/>
                <w:szCs w:val="20"/>
              </w:rPr>
              <w:t xml:space="preserve">8,000+ QA pairs | Numerical Focus</w:t>
            </w:r>
          </w:p>
        </w:tc>
      </w:tr>
      <w:tr>
        <w:tc>
          <w:tcPr>
            <w:tcW w:type="dxa" w:w="2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HuggingFace: embedding-benchmark/FinQA</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Size: 2,800 financial reports, 8,000 QA pairs</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License: CC BY 4.0</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Use: Numerical reasoning eval, calculate_ratio() tool testing</w:t>
            </w:r>
          </w:p>
        </w:tc>
      </w:tr>
      <w:tr>
        <w:tc>
          <w:tcPr>
            <w:tcW w:type="dxa" w:w="9360"/>
            <w:gridSpan w:val="4"/>
            <w:tcBorders>
              <w:top w:val="single" w:color="CCCCCC" w:sz="1"/>
              <w:left w:val="single" w:color="CCCCCC" w:sz="1"/>
              <w:bottom w:val="single" w:color="CCCCCC" w:sz="1"/>
              <w:right w:val="single" w:color="CCCCCC" w:sz="1"/>
            </w:tcBorders>
            <w:tcMar>
              <w:top w:type="dxa" w:w="90"/>
              <w:left w:type="dxa" w:w="160"/>
              <w:bottom w:type="dxa" w:w="90"/>
              <w:right w:type="dxa" w:w="160"/>
            </w:tcMar>
          </w:tcPr>
          <w:p>
            <w:pPr>
              <w:spacing w:before="0" w:after="0"/>
            </w:pPr>
            <w:r>
              <w:rPr>
                <w:rFonts w:ascii="Arial" w:cs="Arial" w:eastAsia="Arial" w:hAnsi="Arial"/>
                <w:sz w:val="20"/>
                <w:szCs w:val="20"/>
              </w:rPr>
              <w:t xml:space="preserve">A large-scale dataset from UCSB NLP Group built from S&amp;P 500 earnings reports (1999-2019). Focuses on numerical reasoning — questions that require multi-step arithmetic over financial tables. This tests a critical FinSight capability: extracting numbers from tables and computing ratios, growth rates, and margins correctly.</w:t>
            </w:r>
          </w:p>
        </w:tc>
      </w:tr>
      <w:tr>
        <w:tc>
          <w:tcPr>
            <w:tcW w:type="dxa" w:w="180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Contains</w:t>
            </w:r>
          </w:p>
        </w:tc>
        <w:tc>
          <w:tcPr>
            <w:tcW w:type="dxa" w:w="7560"/>
            <w:gridSpan w:val="3"/>
            <w:tcBorders>
              <w:top w:val="single" w:color="CCCCCC" w:sz="1"/>
              <w:left w:val="single" w:color="CCCCCC" w:sz="1"/>
              <w:bottom w:val="single" w:color="CCCCCC" w:sz="1"/>
              <w:right w:val="single" w:color="CCCCCC" w:sz="1"/>
            </w:tcBorders>
            <w:shd w:fill="D6E4F0" w:val="clear"/>
            <w:tcMar>
              <w:top w:type="dxa" w:w="90"/>
              <w:left w:type="dxa" w:w="160"/>
              <w:bottom w:type="dxa" w:w="90"/>
              <w:right w:type="dxa" w:w="160"/>
            </w:tcMar>
          </w:tcPr>
          <w:p>
            <w:pPr>
              <w:spacing w:before="0" w:after="0"/>
            </w:pPr>
            <w:r>
              <w:rPr>
                <w:rFonts w:ascii="Arial" w:cs="Arial" w:eastAsia="Arial" w:hAnsi="Arial"/>
                <w:sz w:val="20"/>
                <w:szCs w:val="20"/>
              </w:rPr>
              <w:t xml:space="preserve">QA pairs with pre-text (narrative before table), post-text (narrative after), financial tables in structured format, question, reasoning program (step-by-step math), and the final numerical answer.</w:t>
            </w:r>
          </w:p>
        </w:tc>
      </w:tr>
      <w:tr>
        <w:tc>
          <w:tcPr>
            <w:tcW w:type="dxa" w:w="180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FinSight Use</w:t>
            </w:r>
          </w:p>
        </w:tc>
        <w:tc>
          <w:tcPr>
            <w:tcW w:type="dxa" w:w="7560"/>
            <w:gridSpan w:val="3"/>
            <w:tcBorders>
              <w:top w:val="single" w:color="CCCCCC" w:sz="1"/>
              <w:left w:val="single" w:color="CCCCCC" w:sz="1"/>
              <w:bottom w:val="single" w:color="CCCCCC" w:sz="1"/>
              <w:right w:val="single" w:color="CCCCCC" w:sz="1"/>
            </w:tcBorders>
            <w:shd w:fill="F0EAF9" w:val="clear"/>
            <w:tcMar>
              <w:top w:type="dxa" w:w="90"/>
              <w:left w:type="dxa" w:w="160"/>
              <w:bottom w:type="dxa" w:w="90"/>
              <w:right w:type="dxa" w:w="160"/>
            </w:tcMar>
          </w:tcPr>
          <w:p>
            <w:pPr>
              <w:spacing w:before="0" w:after="0"/>
            </w:pPr>
            <w:r>
              <w:rPr>
                <w:rFonts w:ascii="Arial" w:cs="Arial" w:eastAsia="Arial" w:hAnsi="Arial"/>
                <w:sz w:val="20"/>
                <w:szCs w:val="20"/>
              </w:rPr>
              <w:t xml:space="preserve">Use for testing the calculate_ratio() and financial math tool calls in src/generation/tools/. Also great for evaluating chunk quality — if your chunker splits a table from its narrative, FinQA questions will fail, giving direct feedback on chunking strategy.</w:t>
            </w:r>
          </w:p>
        </w:tc>
      </w:tr>
      <w:tr>
        <w:tc>
          <w:tcPr>
            <w:tcW w:type="dxa" w:w="1800"/>
            <w:tcBorders>
              <w:top w:val="single" w:color="CCCCCC" w:sz="1"/>
              <w:left w:val="single" w:color="CCCCCC" w:sz="1"/>
              <w:bottom w:val="single" w:color="CCCCCC" w:sz="1"/>
              <w:right w:val="single" w:color="CCCCCC" w:sz="1"/>
            </w:tcBorders>
            <w:shd w:fill="2D2D2D"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Load Code</w:t>
            </w:r>
          </w:p>
        </w:tc>
        <w:tc>
          <w:tcPr>
            <w:tcW w:type="dxa" w:w="7560"/>
            <w:gridSpan w:val="3"/>
            <w:tcBorders>
              <w:top w:val="single" w:color="CCCCCC" w:sz="1"/>
              <w:left w:val="single" w:color="CCCCCC" w:sz="1"/>
              <w:bottom w:val="single" w:color="CCCCCC" w:sz="1"/>
              <w:right w:val="single" w:color="CCCCCC" w:sz="1"/>
            </w:tcBorders>
            <w:shd w:fill="1E1E2E" w:val="clear"/>
            <w:tcMar>
              <w:top w:type="dxa" w:w="90"/>
              <w:left w:type="dxa" w:w="160"/>
              <w:bottom w:type="dxa" w:w="90"/>
              <w:right w:type="dxa" w:w="160"/>
            </w:tcMar>
          </w:tcPr>
          <w:p>
            <w:pPr>
              <w:spacing w:before="0" w:after="0"/>
            </w:pPr>
            <w:r>
              <w:rPr>
                <w:rFonts w:ascii="Courier New" w:cs="Courier New" w:eastAsia="Courier New" w:hAnsi="Courier New"/>
                <w:color w:val="A8D8A8"/>
                <w:sz w:val="18"/>
                <w:szCs w:val="18"/>
              </w:rPr>
              <w:t xml:space="preserve">queries   = load_dataset('embedding-benchmark/FinQA', 'queries')
documents = load_dataset('embedding-benchmark/FinQA', 'corpus')
pairs     = load_dataset('embedding-benchmark/FinQA', 'default')</w:t>
            </w:r>
          </w:p>
        </w:tc>
      </w:tr>
    </w:tbl>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1B4F8A"/>
          <w:sz w:val="28"/>
          <w:szCs w:val="28"/>
        </w:rPr>
        <w:t xml:space="preserve">2.3  FinTextQA  —  Regulatory &amp; Long-form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9360"/>
            <w:gridSpan w:val="4"/>
            <w:tcBorders>
              <w:top w:val="single" w:color="CCCCCC" w:sz="1"/>
              <w:left w:val="single" w:color="CCCCCC" w:sz="1"/>
              <w:bottom w:val="single" w:color="CCCCCC" w:sz="1"/>
              <w:right w:val="single" w:color="CCCCCC" w:sz="1"/>
            </w:tcBorders>
            <w:shd w:fill="5C3D8F" w:val="clear"/>
            <w:tcMar>
              <w:top w:type="dxa" w:w="100"/>
              <w:left w:type="dxa" w:w="160"/>
              <w:bottom w:type="dxa" w:w="100"/>
              <w:right w:type="dxa" w:w="160"/>
            </w:tcMar>
          </w:tcPr>
          <w:p>
            <w:pPr>
              <w:spacing w:before="0" w:after="0"/>
            </w:pPr>
            <w:r>
              <w:rPr>
                <w:rFonts w:ascii="Arial" w:cs="Arial" w:eastAsia="Arial" w:hAnsi="Arial"/>
                <w:b/>
                <w:bCs/>
                <w:color w:val="FFFFFF"/>
                <w:sz w:val="26"/>
                <w:szCs w:val="26"/>
              </w:rPr>
              <w:t xml:space="preserve">FinTextQA  </w:t>
            </w:r>
            <w:r>
              <w:rPr>
                <w:rFonts w:ascii="Arial" w:cs="Arial" w:eastAsia="Arial" w:hAnsi="Arial"/>
                <w:b/>
                <w:bCs/>
                <w:color w:val="FFFFFF"/>
                <w:sz w:val="20"/>
                <w:szCs w:val="20"/>
              </w:rPr>
              <w:t xml:space="preserve">1,262 QA pairs | Regulatory Focus</w:t>
            </w:r>
          </w:p>
        </w:tc>
      </w:tr>
      <w:tr>
        <w:tc>
          <w:tcPr>
            <w:tcW w:type="dxa" w:w="2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HuggingFace: GPS-Lab/FinTextQA</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Size: 1,262 high-quality source-attributed QA pairs</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License: CC BY 4.0</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Use: Compliance &amp; regulatory QA eval, long-form answer testing</w:t>
            </w:r>
          </w:p>
        </w:tc>
      </w:tr>
      <w:tr>
        <w:tc>
          <w:tcPr>
            <w:tcW w:type="dxa" w:w="9360"/>
            <w:gridSpan w:val="4"/>
            <w:tcBorders>
              <w:top w:val="single" w:color="CCCCCC" w:sz="1"/>
              <w:left w:val="single" w:color="CCCCCC" w:sz="1"/>
              <w:bottom w:val="single" w:color="CCCCCC" w:sz="1"/>
              <w:right w:val="single" w:color="CCCCCC" w:sz="1"/>
            </w:tcBorders>
            <w:tcMar>
              <w:top w:type="dxa" w:w="90"/>
              <w:left w:type="dxa" w:w="160"/>
              <w:bottom w:type="dxa" w:w="90"/>
              <w:right w:type="dxa" w:w="160"/>
            </w:tcMar>
          </w:tcPr>
          <w:p>
            <w:pPr>
              <w:spacing w:before="0" w:after="0"/>
            </w:pPr>
            <w:r>
              <w:rPr>
                <w:rFonts w:ascii="Arial" w:cs="Arial" w:eastAsia="Arial" w:hAnsi="Arial"/>
                <w:sz w:val="20"/>
                <w:szCs w:val="20"/>
              </w:rPr>
              <w:t xml:space="preserve">Built specifically for long-form financial question answering in a RAG context. Sources are finance textbooks and U.S. government agency websites — exactly the kind of regulatory documents FinSight ingests. A multi-faceted evaluation approach (human ranking, automatic metrics, GPT-4 scoring) was used to build this dataset, making it one of the most carefully curated options available.</w:t>
            </w:r>
          </w:p>
        </w:tc>
      </w:tr>
      <w:tr>
        <w:tc>
          <w:tcPr>
            <w:tcW w:type="dxa" w:w="180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Contains</w:t>
            </w:r>
          </w:p>
        </w:tc>
        <w:tc>
          <w:tcPr>
            <w:tcW w:type="dxa" w:w="7560"/>
            <w:gridSpan w:val="3"/>
            <w:tcBorders>
              <w:top w:val="single" w:color="CCCCCC" w:sz="1"/>
              <w:left w:val="single" w:color="CCCCCC" w:sz="1"/>
              <w:bottom w:val="single" w:color="CCCCCC" w:sz="1"/>
              <w:right w:val="single" w:color="CCCCCC" w:sz="1"/>
            </w:tcBorders>
            <w:shd w:fill="D6E4F0" w:val="clear"/>
            <w:tcMar>
              <w:top w:type="dxa" w:w="90"/>
              <w:left w:type="dxa" w:w="160"/>
              <w:bottom w:type="dxa" w:w="90"/>
              <w:right w:type="dxa" w:w="160"/>
            </w:tcMar>
          </w:tcPr>
          <w:p>
            <w:pPr>
              <w:spacing w:before="0" w:after="0"/>
            </w:pPr>
            <w:r>
              <w:rPr>
                <w:rFonts w:ascii="Arial" w:cs="Arial" w:eastAsia="Arial" w:hAnsi="Arial"/>
                <w:sz w:val="20"/>
                <w:szCs w:val="20"/>
              </w:rPr>
              <w:t xml:space="preserve">1,262 QA pairs from finance textbooks and government agency websites (CFPB, FDIC, Federal Reserve). Each has a question, long-form answer, and the source passage. Covers topics: monetary policy, banking regulation, consumer finance, risk management.</w:t>
            </w:r>
          </w:p>
        </w:tc>
      </w:tr>
      <w:tr>
        <w:tc>
          <w:tcPr>
            <w:tcW w:type="dxa" w:w="1800"/>
            <w:tcBorders>
              <w:top w:val="single" w:color="CCCCCC" w:sz="1"/>
              <w:left w:val="single" w:color="CCCCCC" w:sz="1"/>
              <w:bottom w:val="single" w:color="CCCCCC" w:sz="1"/>
              <w:right w:val="single" w:color="CCCCCC" w:sz="1"/>
            </w:tcBorders>
            <w:shd w:fill="5C3D8F"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FinSight Use</w:t>
            </w:r>
          </w:p>
        </w:tc>
        <w:tc>
          <w:tcPr>
            <w:tcW w:type="dxa" w:w="7560"/>
            <w:gridSpan w:val="3"/>
            <w:tcBorders>
              <w:top w:val="single" w:color="CCCCCC" w:sz="1"/>
              <w:left w:val="single" w:color="CCCCCC" w:sz="1"/>
              <w:bottom w:val="single" w:color="CCCCCC" w:sz="1"/>
              <w:right w:val="single" w:color="CCCCCC" w:sz="1"/>
            </w:tcBorders>
            <w:shd w:fill="F0EAF9" w:val="clear"/>
            <w:tcMar>
              <w:top w:type="dxa" w:w="90"/>
              <w:left w:type="dxa" w:w="160"/>
              <w:bottom w:type="dxa" w:w="90"/>
              <w:right w:type="dxa" w:w="160"/>
            </w:tcMar>
          </w:tcPr>
          <w:p>
            <w:pPr>
              <w:spacing w:before="0" w:after="0"/>
            </w:pPr>
            <w:r>
              <w:rPr>
                <w:rFonts w:ascii="Arial" w:cs="Arial" w:eastAsia="Arial" w:hAnsi="Arial"/>
                <w:sz w:val="20"/>
                <w:szCs w:val="20"/>
              </w:rPr>
              <w:t xml:space="preserve">Critical for testing compliance Q&amp;A queries — the exact use case for Fiserv. Use alongside FinanceBench to cover both SEC filing queries (FinanceBench) and regulatory policy queries (FinTextQA). Also useful as Tunix SFT data for compliance-specific answer style.</w:t>
            </w:r>
          </w:p>
        </w:tc>
      </w:tr>
      <w:tr>
        <w:tc>
          <w:tcPr>
            <w:tcW w:type="dxa" w:w="1800"/>
            <w:tcBorders>
              <w:top w:val="single" w:color="CCCCCC" w:sz="1"/>
              <w:left w:val="single" w:color="CCCCCC" w:sz="1"/>
              <w:bottom w:val="single" w:color="CCCCCC" w:sz="1"/>
              <w:right w:val="single" w:color="CCCCCC" w:sz="1"/>
            </w:tcBorders>
            <w:shd w:fill="2D2D2D"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Load Code</w:t>
            </w:r>
          </w:p>
        </w:tc>
        <w:tc>
          <w:tcPr>
            <w:tcW w:type="dxa" w:w="7560"/>
            <w:gridSpan w:val="3"/>
            <w:tcBorders>
              <w:top w:val="single" w:color="CCCCCC" w:sz="1"/>
              <w:left w:val="single" w:color="CCCCCC" w:sz="1"/>
              <w:bottom w:val="single" w:color="CCCCCC" w:sz="1"/>
              <w:right w:val="single" w:color="CCCCCC" w:sz="1"/>
            </w:tcBorders>
            <w:shd w:fill="1E1E2E" w:val="clear"/>
            <w:tcMar>
              <w:top w:type="dxa" w:w="90"/>
              <w:left w:type="dxa" w:w="160"/>
              <w:bottom w:type="dxa" w:w="90"/>
              <w:right w:type="dxa" w:w="160"/>
            </w:tcMar>
          </w:tcPr>
          <w:p>
            <w:pPr>
              <w:spacing w:before="0" w:after="0"/>
            </w:pPr>
            <w:r>
              <w:rPr>
                <w:rFonts w:ascii="Courier New" w:cs="Courier New" w:eastAsia="Courier New" w:hAnsi="Courier New"/>
                <w:color w:val="A8D8A8"/>
                <w:sz w:val="18"/>
                <w:szCs w:val="18"/>
              </w:rPr>
              <w:t xml:space="preserve">from datasets import load_dataset
ftqa = load_dataset('GPS-Lab/FinTextQA')
# Fields: question, answer, source, context</w:t>
            </w:r>
          </w:p>
        </w:tc>
      </w:tr>
    </w:tbl>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1B4F8A"/>
          <w:sz w:val="28"/>
          <w:szCs w:val="28"/>
        </w:rPr>
        <w:t xml:space="preserve">2.4  FiQA  —  General Financial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9360"/>
            <w:gridSpan w:val="4"/>
            <w:tcBorders>
              <w:top w:val="single" w:color="CCCCCC" w:sz="1"/>
              <w:left w:val="single" w:color="CCCCCC" w:sz="1"/>
              <w:bottom w:val="single" w:color="CCCCCC" w:sz="1"/>
              <w:right w:val="single" w:color="CCCCCC" w:sz="1"/>
            </w:tcBorders>
            <w:shd w:fill="B85C00" w:val="clear"/>
            <w:tcMar>
              <w:top w:type="dxa" w:w="100"/>
              <w:left w:type="dxa" w:w="160"/>
              <w:bottom w:type="dxa" w:w="100"/>
              <w:right w:type="dxa" w:w="160"/>
            </w:tcMar>
          </w:tcPr>
          <w:p>
            <w:pPr>
              <w:spacing w:before="0" w:after="0"/>
            </w:pPr>
            <w:r>
              <w:rPr>
                <w:rFonts w:ascii="Arial" w:cs="Arial" w:eastAsia="Arial" w:hAnsi="Arial"/>
                <w:b/>
                <w:bCs/>
                <w:color w:val="FFFFFF"/>
                <w:sz w:val="26"/>
                <w:szCs w:val="26"/>
              </w:rPr>
              <w:t xml:space="preserve">FiQA  </w:t>
            </w:r>
            <w:r>
              <w:rPr>
                <w:rFonts w:ascii="Arial" w:cs="Arial" w:eastAsia="Arial" w:hAnsi="Arial"/>
                <w:b/>
                <w:bCs/>
                <w:color w:val="FFFFFF"/>
                <w:sz w:val="20"/>
                <w:szCs w:val="20"/>
              </w:rPr>
              <w:t xml:space="preserve">Broad Financial QA | Opinion &amp; Factual</w:t>
            </w:r>
          </w:p>
        </w:tc>
      </w:tr>
      <w:tr>
        <w:tc>
          <w:tcPr>
            <w:tcW w:type="dxa" w:w="2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HuggingFace: LLukas22/fiqa</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Size: ~5,500 QA pairs</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License: Open (academic use)</w:t>
            </w:r>
          </w:p>
        </w:tc>
        <w:tc>
          <w:tcPr>
            <w:tcW w:type="dxa" w:w="22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444444"/>
                <w:sz w:val="20"/>
                <w:szCs w:val="20"/>
              </w:rPr>
              <w:t xml:space="preserve">Use: Broad coverage eval, conversational fintech Q&amp;A</w:t>
            </w:r>
          </w:p>
        </w:tc>
      </w:tr>
      <w:tr>
        <w:tc>
          <w:tcPr>
            <w:tcW w:type="dxa" w:w="9360"/>
            <w:gridSpan w:val="4"/>
            <w:tcBorders>
              <w:top w:val="single" w:color="CCCCCC" w:sz="1"/>
              <w:left w:val="single" w:color="CCCCCC" w:sz="1"/>
              <w:bottom w:val="single" w:color="CCCCCC" w:sz="1"/>
              <w:right w:val="single" w:color="CCCCCC" w:sz="1"/>
            </w:tcBorders>
            <w:tcMar>
              <w:top w:type="dxa" w:w="90"/>
              <w:left w:type="dxa" w:w="160"/>
              <w:bottom w:type="dxa" w:w="90"/>
              <w:right w:type="dxa" w:w="160"/>
            </w:tcMar>
          </w:tcPr>
          <w:p>
            <w:pPr>
              <w:spacing w:before="0" w:after="0"/>
            </w:pPr>
            <w:r>
              <w:rPr>
                <w:rFonts w:ascii="Arial" w:cs="Arial" w:eastAsia="Arial" w:hAnsi="Arial"/>
                <w:sz w:val="20"/>
                <w:szCs w:val="20"/>
              </w:rPr>
              <w:t xml:space="preserve">Financial opinion-based question answering dataset covering general finance questions — how do financial instruments work, what do economic terms mean, investment concepts. Adds coverage breadth to your eval suite beyond SEC filings. Useful for testing the 'general fintech knowledge' queries that analysts ask alongside document-specific questions.</w:t>
            </w:r>
          </w:p>
        </w:tc>
      </w:tr>
      <w:tr>
        <w:tc>
          <w:tcPr>
            <w:tcW w:type="dxa" w:w="180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Contains</w:t>
            </w:r>
          </w:p>
        </w:tc>
        <w:tc>
          <w:tcPr>
            <w:tcW w:type="dxa" w:w="7560"/>
            <w:gridSpan w:val="3"/>
            <w:tcBorders>
              <w:top w:val="single" w:color="CCCCCC" w:sz="1"/>
              <w:left w:val="single" w:color="CCCCCC" w:sz="1"/>
              <w:bottom w:val="single" w:color="CCCCCC" w:sz="1"/>
              <w:right w:val="single" w:color="CCCCCC" w:sz="1"/>
            </w:tcBorders>
            <w:shd w:fill="D6E4F0" w:val="clear"/>
            <w:tcMar>
              <w:top w:type="dxa" w:w="90"/>
              <w:left w:type="dxa" w:w="160"/>
              <w:bottom w:type="dxa" w:w="90"/>
              <w:right w:type="dxa" w:w="160"/>
            </w:tcMar>
          </w:tcPr>
          <w:p>
            <w:pPr>
              <w:spacing w:before="0" w:after="0"/>
            </w:pPr>
            <w:r>
              <w:rPr>
                <w:rFonts w:ascii="Arial" w:cs="Arial" w:eastAsia="Arial" w:hAnsi="Arial"/>
                <w:sz w:val="20"/>
                <w:szCs w:val="20"/>
              </w:rPr>
              <w:t xml:space="preserve">QA pairs spanning topics: personal finance, investment vehicles (ETFs, treasury notes, options), banking products, economic concepts. Mix of factual and opinion-based answers. Example: 'How does a 2-year treasury note work?'</w:t>
            </w:r>
          </w:p>
        </w:tc>
      </w:tr>
      <w:tr>
        <w:tc>
          <w:tcPr>
            <w:tcW w:type="dxa" w:w="1800"/>
            <w:tcBorders>
              <w:top w:val="single" w:color="CCCCCC" w:sz="1"/>
              <w:left w:val="single" w:color="CCCCCC" w:sz="1"/>
              <w:bottom w:val="single" w:color="CCCCCC" w:sz="1"/>
              <w:right w:val="single" w:color="CCCCCC" w:sz="1"/>
            </w:tcBorders>
            <w:shd w:fill="B85C00"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FinSight Use</w:t>
            </w:r>
          </w:p>
        </w:tc>
        <w:tc>
          <w:tcPr>
            <w:tcW w:type="dxa" w:w="7560"/>
            <w:gridSpan w:val="3"/>
            <w:tcBorders>
              <w:top w:val="single" w:color="CCCCCC" w:sz="1"/>
              <w:left w:val="single" w:color="CCCCCC" w:sz="1"/>
              <w:bottom w:val="single" w:color="CCCCCC" w:sz="1"/>
              <w:right w:val="single" w:color="CCCCCC" w:sz="1"/>
            </w:tcBorders>
            <w:shd w:fill="F0EAF9" w:val="clear"/>
            <w:tcMar>
              <w:top w:type="dxa" w:w="90"/>
              <w:left w:type="dxa" w:w="160"/>
              <w:bottom w:type="dxa" w:w="90"/>
              <w:right w:type="dxa" w:w="160"/>
            </w:tcMar>
          </w:tcPr>
          <w:p>
            <w:pPr>
              <w:spacing w:before="0" w:after="0"/>
            </w:pPr>
            <w:r>
              <w:rPr>
                <w:rFonts w:ascii="Arial" w:cs="Arial" w:eastAsia="Arial" w:hAnsi="Arial"/>
                <w:sz w:val="20"/>
                <w:szCs w:val="20"/>
              </w:rPr>
              <w:t xml:space="preserve">Use to evaluate the model on general fintech knowledge questions that sit alongside document retrieval queries. Good for testing the generation layer's base financial knowledge independently of retrieval quality.</w:t>
            </w:r>
          </w:p>
        </w:tc>
      </w:tr>
      <w:tr>
        <w:tc>
          <w:tcPr>
            <w:tcW w:type="dxa" w:w="1800"/>
            <w:tcBorders>
              <w:top w:val="single" w:color="CCCCCC" w:sz="1"/>
              <w:left w:val="single" w:color="CCCCCC" w:sz="1"/>
              <w:bottom w:val="single" w:color="CCCCCC" w:sz="1"/>
              <w:right w:val="single" w:color="CCCCCC" w:sz="1"/>
            </w:tcBorders>
            <w:shd w:fill="2D2D2D"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Load Code</w:t>
            </w:r>
          </w:p>
        </w:tc>
        <w:tc>
          <w:tcPr>
            <w:tcW w:type="dxa" w:w="7560"/>
            <w:gridSpan w:val="3"/>
            <w:tcBorders>
              <w:top w:val="single" w:color="CCCCCC" w:sz="1"/>
              <w:left w:val="single" w:color="CCCCCC" w:sz="1"/>
              <w:bottom w:val="single" w:color="CCCCCC" w:sz="1"/>
              <w:right w:val="single" w:color="CCCCCC" w:sz="1"/>
            </w:tcBorders>
            <w:shd w:fill="1E1E2E" w:val="clear"/>
            <w:tcMar>
              <w:top w:type="dxa" w:w="90"/>
              <w:left w:type="dxa" w:w="160"/>
              <w:bottom w:type="dxa" w:w="90"/>
              <w:right w:type="dxa" w:w="160"/>
            </w:tcMar>
          </w:tcPr>
          <w:p>
            <w:pPr>
              <w:spacing w:before="0" w:after="0"/>
            </w:pPr>
            <w:r>
              <w:rPr>
                <w:rFonts w:ascii="Courier New" w:cs="Courier New" w:eastAsia="Courier New" w:hAnsi="Courier New"/>
                <w:color w:val="A8D8A8"/>
                <w:sz w:val="18"/>
                <w:szCs w:val="18"/>
              </w:rPr>
              <w:t xml:space="preserve">from datasets import load_dataset
fiqa = load_dataset('LLukas22/fiqa')
# Fields: question, answer</w:t>
            </w:r>
          </w:p>
        </w:tc>
      </w:tr>
    </w:tbl>
    <w:p>
      <w:pPr>
        <w:spacing w:before="40" w:after="40"/>
      </w:pPr>
      <w:r>
        <w:t xml:space="preserve"/>
      </w:r>
    </w:p>
    <w:p>
      <w:pPr>
        <w:spacing w:before="40" w:after="40"/>
      </w:pPr>
      <w:r>
        <w:t xml:space="preserve"/>
      </w:r>
    </w:p>
    <w:p>
      <w:r>
        <w:br w:type="page"/>
      </w:r>
    </w:p>
    <w:p>
      <w:pPr>
        <w:pStyle w:val="Heading1"/>
        <w:pBdr>
          <w:bottom w:val="single" w:color="2E86AB" w:sz="6" w:space="4"/>
        </w:pBdr>
        <w:spacing w:before="360" w:after="160"/>
      </w:pPr>
      <w:r>
        <w:rPr>
          <w:rFonts w:ascii="Arial" w:cs="Arial" w:eastAsia="Arial" w:hAnsi="Arial"/>
          <w:b/>
          <w:bCs/>
          <w:color w:val="0D2E5A"/>
          <w:sz w:val="36"/>
          <w:szCs w:val="36"/>
        </w:rPr>
        <w:t xml:space="preserve">Layer 3 — Tunix Training Datasets</w:t>
      </w:r>
    </w:p>
    <w:p>
      <w:pPr>
        <w:spacing w:before="60" w:after="60"/>
      </w:pPr>
      <w:r>
        <w:rPr>
          <w:rFonts w:ascii="Arial" w:cs="Arial" w:eastAsia="Arial" w:hAnsi="Arial"/>
          <w:color w:val="222222"/>
          <w:sz w:val="22"/>
          <w:szCs w:val="22"/>
        </w:rPr>
        <w:t xml:space="preserve">Tunix requires two types of training data: SFT instruction pairs (for domain adaptation) and DPO preference pairs (for alignment). Here is exactly how to build both from the datasets you already have, plus one additional source for compliance-specific data.</w:t>
      </w:r>
    </w:p>
    <w:p>
      <w:pPr>
        <w:spacing w:before="40" w:after="40"/>
      </w:pPr>
      <w:r>
        <w:t xml:space="preserve"/>
      </w:r>
    </w:p>
    <w:p>
      <w:pPr>
        <w:pStyle w:val="Heading2"/>
        <w:spacing w:before="260" w:after="100"/>
      </w:pPr>
      <w:r>
        <w:rPr>
          <w:rFonts w:ascii="Arial" w:cs="Arial" w:eastAsia="Arial" w:hAnsi="Arial"/>
          <w:b/>
          <w:bCs/>
          <w:color w:val="1B4F8A"/>
          <w:sz w:val="28"/>
          <w:szCs w:val="28"/>
        </w:rPr>
        <w:t xml:space="preserve">3.1  SFT Dataset — Supervised Fine-Tuning</w:t>
      </w:r>
    </w:p>
    <w:p>
      <w:pPr>
        <w:spacing w:before="180" w:after="80"/>
      </w:pPr>
      <w:r>
        <w:rPr>
          <w:rFonts w:ascii="Arial" w:cs="Arial" w:eastAsia="Arial" w:hAnsi="Arial"/>
          <w:b/>
          <w:bCs/>
          <w:color w:val="1A7A4E"/>
          <w:sz w:val="24"/>
          <w:szCs w:val="24"/>
        </w:rPr>
        <w:t xml:space="preserve">Source 1: FinanceBench + FinTextQA formatted as instructions</w:t>
      </w:r>
    </w:p>
    <w:p>
      <w:pPr>
        <w:spacing w:before="60" w:after="60"/>
      </w:pPr>
      <w:r>
        <w:rPr>
          <w:rFonts w:ascii="Arial" w:cs="Arial" w:eastAsia="Arial" w:hAnsi="Arial"/>
          <w:color w:val="222222"/>
          <w:sz w:val="22"/>
          <w:szCs w:val="22"/>
        </w:rPr>
        <w:t xml:space="preserve">Convert your existing QA datasets into instruction-response format for Tunix SFTLearner: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20"/>
            </w:pPr>
            <w:r>
              <w:rPr>
                <w:rFonts w:ascii="Courier New" w:cs="Courier New" w:eastAsia="Courier New" w:hAnsi="Courier New"/>
                <w:color w:val="888888"/>
                <w:sz w:val="18"/>
                <w:szCs w:val="18"/>
              </w:rPr>
              <w:t xml:space="preserve"># Format QA pairs as Tunix SFT instruction data</w:t>
            </w:r>
          </w:p>
          <w:p>
            <w:pPr>
              <w:spacing w:before="0" w:after="20"/>
            </w:pPr>
            <w:r>
              <w:rPr>
                <w:rFonts w:ascii="Courier New" w:cs="Courier New" w:eastAsia="Courier New" w:hAnsi="Courier New"/>
                <w:color w:val="A8D8A8"/>
                <w:sz w:val="18"/>
                <w:szCs w:val="18"/>
              </w:rPr>
              <w:t xml:space="preserve">def to_sft_format(row):</w:t>
            </w:r>
          </w:p>
          <w:p>
            <w:pPr>
              <w:spacing w:before="0" w:after="20"/>
            </w:pPr>
            <w:r>
              <w:rPr>
                <w:rFonts w:ascii="Courier New" w:cs="Courier New" w:eastAsia="Courier New" w:hAnsi="Courier New"/>
                <w:color w:val="A8D8A8"/>
                <w:sz w:val="18"/>
                <w:szCs w:val="18"/>
              </w:rPr>
              <w:t xml:space="preserve">    return {</w:t>
            </w:r>
          </w:p>
          <w:p>
            <w:pPr>
              <w:spacing w:before="0" w:after="20"/>
            </w:pPr>
            <w:r>
              <w:rPr>
                <w:rFonts w:ascii="Courier New" w:cs="Courier New" w:eastAsia="Courier New" w:hAnsi="Courier New"/>
                <w:color w:val="A8D8A8"/>
                <w:sz w:val="18"/>
                <w:szCs w:val="18"/>
              </w:rPr>
              <w:t xml:space="preserve">        'prompt': f'Answer using only the provided context.\nContext: {row["evidence"]}\nQuestion: {row["question"]}',</w:t>
            </w:r>
          </w:p>
          <w:p>
            <w:pPr>
              <w:spacing w:before="0" w:after="0"/>
            </w:pPr>
            <w:r>
              <w:rPr>
                <w:rFonts w:ascii="Courier New" w:cs="Courier New" w:eastAsia="Courier New" w:hAnsi="Courier New"/>
                <w:color w:val="A8D8A8"/>
                <w:sz w:val="18"/>
                <w:szCs w:val="18"/>
              </w:rPr>
              <w:t xml:space="preserve">        'completion': row['answer']  # cite: [Doc, Page N]</w:t>
            </w:r>
          </w:p>
          <w:p>
            <w:pPr>
              <w:spacing w:before="0" w:after="20"/>
            </w:pPr>
            <w:r>
              <w:rPr>
                <w:rFonts w:ascii="Courier New" w:cs="Courier New" w:eastAsia="Courier New" w:hAnsi="Courier New"/>
                <w:color w:val="A8D8A8"/>
                <w:sz w:val="18"/>
                <w:szCs w:val="18"/>
              </w:rPr>
              <w:t xml:space="preserve">    }</w:t>
            </w:r>
          </w:p>
          <w:p>
            <w:pPr>
              <w:spacing w:before="0" w:after="20"/>
            </w:pPr>
            <w:r>
              <w:rPr>
                <w:rFonts w:ascii="Courier New" w:cs="Courier New" w:eastAsia="Courier New" w:hAnsi="Courier New"/>
                <w:color w:val="A8D8A8"/>
                <w:sz w:val="18"/>
                <w:szCs w:val="18"/>
              </w:rPr>
              <w:t xml:space="preserve">sft_data = [to_sft_format(r) for r in financebench['train']]  # 150 pairs</w:t>
            </w:r>
          </w:p>
          <w:p>
            <w:pPr>
              <w:spacing w:before="0" w:after="0"/>
            </w:pPr>
            <w:r>
              <w:rPr>
                <w:rFonts w:ascii="Courier New" w:cs="Courier New" w:eastAsia="Courier New" w:hAnsi="Courier New"/>
                <w:color w:val="A8D8A8"/>
                <w:sz w:val="18"/>
                <w:szCs w:val="18"/>
              </w:rPr>
              <w:t xml:space="preserve">sft_data += [to_sft_format(r) for r in fintextqa['train']]   # +1,262 pairs</w:t>
            </w:r>
          </w:p>
        </w:tc>
      </w:tr>
    </w:tbl>
    <w:p>
      <w:pPr>
        <w:spacing w:before="40" w:after="40"/>
      </w:pPr>
      <w:r>
        <w:t xml:space="preserve"/>
      </w:r>
    </w:p>
    <w:p>
      <w:pPr>
        <w:spacing w:before="180" w:after="80"/>
      </w:pPr>
      <w:r>
        <w:rPr>
          <w:rFonts w:ascii="Arial" w:cs="Arial" w:eastAsia="Arial" w:hAnsi="Arial"/>
          <w:b/>
          <w:bCs/>
          <w:color w:val="1B4F8A"/>
          <w:sz w:val="24"/>
          <w:szCs w:val="24"/>
        </w:rPr>
        <w:t xml:space="preserve">Source 2: GPT-4o Synthetic Generation on EDGAR Corpus</w:t>
      </w:r>
    </w:p>
    <w:p>
      <w:pPr>
        <w:spacing w:before="60" w:after="60"/>
      </w:pPr>
      <w:r>
        <w:rPr>
          <w:rFonts w:ascii="Arial" w:cs="Arial" w:eastAsia="Arial" w:hAnsi="Arial"/>
          <w:color w:val="222222"/>
          <w:sz w:val="22"/>
          <w:szCs w:val="22"/>
        </w:rPr>
        <w:t xml:space="preserve">For each of your 50+ ingested EDGAR documents, auto-generate 20 Q&amp;A pairs using GPT-4o as a synthetic data generator: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20"/>
            </w:pPr>
            <w:r>
              <w:rPr>
                <w:rFonts w:ascii="Courier New" w:cs="Courier New" w:eastAsia="Courier New" w:hAnsi="Courier New"/>
                <w:color w:val="A8D8A8"/>
                <w:sz w:val="18"/>
                <w:szCs w:val="18"/>
              </w:rPr>
              <w:t xml:space="preserve">SYSTEM_PROMPT = '''You are a financial compliance expert.</w:t>
            </w:r>
          </w:p>
          <w:p>
            <w:pPr>
              <w:spacing w:before="0" w:after="20"/>
            </w:pPr>
            <w:r>
              <w:rPr>
                <w:rFonts w:ascii="Courier New" w:cs="Courier New" w:eastAsia="Courier New" w:hAnsi="Courier New"/>
                <w:color w:val="A8D8A8"/>
                <w:sz w:val="18"/>
                <w:szCs w:val="18"/>
              </w:rPr>
              <w:t xml:space="preserve">Given the following excerpt from an SEC filing, generate 5 QA pairs.</w:t>
            </w:r>
          </w:p>
          <w:p>
            <w:pPr>
              <w:spacing w:before="0" w:after="20"/>
            </w:pPr>
            <w:r>
              <w:rPr>
                <w:rFonts w:ascii="Courier New" w:cs="Courier New" w:eastAsia="Courier New" w:hAnsi="Courier New"/>
                <w:color w:val="A8D8A8"/>
                <w:sz w:val="18"/>
                <w:szCs w:val="18"/>
              </w:rPr>
              <w:t xml:space="preserve">Each answer must cite [Doc: filename, Page: N]. Return JSON only.</w:t>
            </w:r>
          </w:p>
          <w:p>
            <w:pPr>
              <w:spacing w:before="0" w:after="20"/>
            </w:pPr>
            <w:r>
              <w:rPr>
                <w:rFonts w:ascii="Courier New" w:cs="Courier New" w:eastAsia="Courier New" w:hAnsi="Courier New"/>
                <w:color w:val="A8D8A8"/>
                <w:sz w:val="18"/>
                <w:szCs w:val="18"/>
              </w:rPr>
              <w:t xml:space="preserve">Format: [{question, answer, evidence_span}]'''</w:t>
            </w:r>
          </w:p>
          <w:p>
            <w:pPr>
              <w:spacing w:before="0" w:after="0"/>
            </w:pPr>
            <w:r>
              <w:rPr>
                <w:rFonts w:ascii="Courier New" w:cs="Courier New" w:eastAsia="Courier New" w:hAnsi="Courier New"/>
                <w:color w:val="888888"/>
                <w:sz w:val="18"/>
                <w:szCs w:val="18"/>
              </w:rPr>
              <w:t xml:space="preserve"># 50 docs x 20 questions = 1,000 synthetic SFT pairs</w:t>
            </w:r>
          </w:p>
        </w:tc>
      </w:tr>
    </w:tbl>
    <w:p>
      <w:pPr>
        <w:spacing w:before="40" w:after="40"/>
      </w:pPr>
      <w:r>
        <w:t xml:space="preserve"/>
      </w:r>
    </w:p>
    <w:p>
      <w:pPr>
        <w:spacing w:before="60" w:after="60"/>
      </w:pPr>
      <w:r>
        <w:rPr>
          <w:rFonts w:ascii="Arial" w:cs="Arial" w:eastAsia="Arial" w:hAnsi="Arial"/>
          <w:color w:val="222222"/>
          <w:sz w:val="22"/>
          <w:szCs w:val="22"/>
        </w:rPr>
        <w:t xml:space="preserve">Total SFT dataset: ~2,400 instruction pairs (150 FinanceBench + 1,262 FinTextQA + ~1,000 synthetic). This is well above the threshold needed for meaningful LoRA fine-tuning on Gemma.</w:t>
      </w:r>
    </w:p>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1B4F8A"/>
          <w:sz w:val="28"/>
          <w:szCs w:val="28"/>
        </w:rPr>
        <w:t xml:space="preserve">3.2  DPO Dataset — Preference Tuning</w:t>
      </w:r>
    </w:p>
    <w:p>
      <w:pPr>
        <w:spacing w:before="180" w:after="80"/>
      </w:pPr>
      <w:r>
        <w:rPr>
          <w:rFonts w:ascii="Arial" w:cs="Arial" w:eastAsia="Arial" w:hAnsi="Arial"/>
          <w:b/>
          <w:bCs/>
          <w:color w:val="5C3D8F"/>
          <w:sz w:val="24"/>
          <w:szCs w:val="24"/>
        </w:rPr>
        <w:t xml:space="preserve">Source: RAGAS Failure Cases (Auto-generated from Eval)</w:t>
      </w:r>
    </w:p>
    <w:p>
      <w:pPr>
        <w:spacing w:before="60" w:after="60"/>
      </w:pPr>
      <w:r>
        <w:rPr>
          <w:rFonts w:ascii="Arial" w:cs="Arial" w:eastAsia="Arial" w:hAnsi="Arial"/>
          <w:color w:val="222222"/>
          <w:sz w:val="22"/>
          <w:szCs w:val="22"/>
        </w:rPr>
        <w:t xml:space="preserve">The most valuable DPO data comes from your own system's failures. After running RAGAS on your golden set, export low-scoring responses as rejected pairs: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5C3D8F"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DPO Field</w:t>
            </w:r>
          </w:p>
        </w:tc>
        <w:tc>
          <w:tcPr>
            <w:tcW w:type="dxa" w:w="3600"/>
            <w:tcBorders>
              <w:top w:val="single" w:color="CCCCCC" w:sz="1"/>
              <w:left w:val="single" w:color="CCCCCC" w:sz="1"/>
              <w:bottom w:val="single" w:color="CCCCCC" w:sz="1"/>
              <w:right w:val="single" w:color="CCCCCC" w:sz="1"/>
            </w:tcBorders>
            <w:shd w:fill="1A7A4E"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Preferred (Correct)</w:t>
            </w:r>
          </w:p>
        </w:tc>
        <w:tc>
          <w:tcPr>
            <w:tcW w:type="dxa" w:w="3600"/>
            <w:tcBorders>
              <w:top w:val="single" w:color="CCCCCC" w:sz="1"/>
              <w:left w:val="single" w:color="CCCCCC" w:sz="1"/>
              <w:bottom w:val="single" w:color="CCCCCC" w:sz="1"/>
              <w:right w:val="single" w:color="CCCCCC" w:sz="1"/>
            </w:tcBorders>
            <w:shd w:fill="7B1D1D"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Rejected (Failure)</w:t>
            </w:r>
          </w:p>
        </w:tc>
      </w:tr>
      <w:tr>
        <w:tc>
          <w:tcPr>
            <w:tcW w:type="dxa" w:w="21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Citation</w:t>
            </w:r>
          </w:p>
        </w:tc>
        <w:tc>
          <w:tcPr>
            <w:tcW w:type="dxa" w:w="36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Cites [Doc: Fiserv_10K.pdf, Page: 47]</w:t>
            </w:r>
          </w:p>
        </w:tc>
        <w:tc>
          <w:tcPr>
            <w:tcW w:type="dxa" w:w="3600"/>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No citation provided or wrong page number</w:t>
            </w:r>
          </w:p>
        </w:tc>
      </w:tr>
      <w:tr>
        <w:tc>
          <w:tcPr>
            <w:tcW w:type="dxa" w:w="21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Faithfulness</w:t>
            </w:r>
          </w:p>
        </w:tc>
        <w:tc>
          <w:tcPr>
            <w:tcW w:type="dxa" w:w="36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States only what is in the retrieved context</w:t>
            </w:r>
          </w:p>
        </w:tc>
        <w:tc>
          <w:tcPr>
            <w:tcW w:type="dxa" w:w="3600"/>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Adds information not present in retrieved chunks</w:t>
            </w:r>
          </w:p>
        </w:tc>
      </w:tr>
      <w:tr>
        <w:tc>
          <w:tcPr>
            <w:tcW w:type="dxa" w:w="21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Numerical Accuracy</w:t>
            </w:r>
          </w:p>
        </w:tc>
        <w:tc>
          <w:tcPr>
            <w:tcW w:type="dxa" w:w="36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$10,000 wire transfer threshold (from BSA policy)</w:t>
            </w:r>
          </w:p>
        </w:tc>
        <w:tc>
          <w:tcPr>
            <w:tcW w:type="dxa" w:w="3600"/>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Hallucinated dollar amount not in source doc</w:t>
            </w:r>
          </w:p>
        </w:tc>
      </w:tr>
      <w:tr>
        <w:tc>
          <w:tcPr>
            <w:tcW w:type="dxa" w:w="21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Regulatory Tone</w:t>
            </w:r>
          </w:p>
        </w:tc>
        <w:tc>
          <w:tcPr>
            <w:tcW w:type="dxa" w:w="36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Uses correct regulatory terminology (SAR, CTR, BSA)</w:t>
            </w:r>
          </w:p>
        </w:tc>
        <w:tc>
          <w:tcPr>
            <w:tcW w:type="dxa" w:w="3600"/>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Generic language that does not reflect compliance context</w:t>
            </w:r>
          </w:p>
        </w:tc>
      </w:tr>
    </w:tbl>
    <w:p>
      <w:pPr>
        <w:spacing w:before="40" w:after="40"/>
      </w:pPr>
      <w:r>
        <w:t xml:space="preserve"/>
      </w:r>
    </w:p>
    <w:p>
      <w:pPr>
        <w:spacing w:before="180" w:after="80"/>
      </w:pPr>
      <w:r>
        <w:rPr>
          <w:rFonts w:ascii="Arial" w:cs="Arial" w:eastAsia="Arial" w:hAnsi="Arial"/>
          <w:b/>
          <w:bCs/>
          <w:color w:val="B85C00"/>
          <w:sz w:val="24"/>
          <w:szCs w:val="24"/>
        </w:rPr>
        <w:t xml:space="preserve">Source: IBM AML Synthetic Transaction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B85C00" w:val="clear"/>
            <w:tcMar>
              <w:top w:type="dxa" w:w="80"/>
              <w:left w:type="dxa" w:w="130"/>
              <w:bottom w:type="dxa" w:w="80"/>
              <w:right w:type="dxa" w:w="130"/>
            </w:tcMar>
          </w:tcPr>
          <w:p>
            <w:r>
              <w:rPr>
                <w:rFonts w:ascii="Arial" w:cs="Arial" w:eastAsia="Arial" w:hAnsi="Arial"/>
                <w:b/>
                <w:bCs/>
                <w:color w:val="FFFFFF"/>
                <w:sz w:val="20"/>
                <w:szCs w:val="20"/>
              </w:rPr>
              <w:t xml:space="preserve">GitHub</w:t>
            </w:r>
          </w:p>
        </w:tc>
        <w:tc>
          <w:tcPr>
            <w:tcW w:type="dxa" w:w="7360"/>
            <w:tcBorders>
              <w:top w:val="single" w:color="CCCCCC" w:sz="1"/>
              <w:left w:val="single" w:color="CCCCCC" w:sz="1"/>
              <w:bottom w:val="single" w:color="CCCCCC" w:sz="1"/>
              <w:right w:val="single" w:color="CCCCCC" w:sz="1"/>
            </w:tcBorders>
            <w:shd w:fill="FFF3E0" w:val="clear"/>
            <w:tcMar>
              <w:top w:type="dxa" w:w="80"/>
              <w:left w:type="dxa" w:w="130"/>
              <w:bottom w:type="dxa" w:w="80"/>
              <w:right w:type="dxa" w:w="130"/>
            </w:tcMar>
          </w:tcPr>
          <w:p>
            <w:r>
              <w:rPr>
                <w:rFonts w:ascii="Arial" w:cs="Arial" w:eastAsia="Arial" w:hAnsi="Arial"/>
                <w:sz w:val="20"/>
                <w:szCs w:val="20"/>
              </w:rPr>
              <w:t xml:space="preserve">github.com/IBM/AML-Data</w:t>
            </w:r>
          </w:p>
        </w:tc>
      </w:tr>
    </w:tbl>
    <w:p>
      <w:pPr>
        <w:spacing w:before="40" w:after="40"/>
      </w:pPr>
      <w:r>
        <w:t xml:space="preserve"/>
      </w:r>
    </w:p>
    <w:p>
      <w:pPr>
        <w:spacing w:before="60" w:after="60"/>
      </w:pPr>
      <w:r>
        <w:rPr>
          <w:rFonts w:ascii="Arial" w:cs="Arial" w:eastAsia="Arial" w:hAnsi="Arial"/>
          <w:color w:val="222222"/>
          <w:sz w:val="22"/>
          <w:szCs w:val="22"/>
        </w:rPr>
        <w:t xml:space="preserve">IBM's open-source synthetic AML dataset provides realistic financial transaction data including legitimate and money laundering examples. Use this to generate compliance-specific DPO pairs around suspicious activity detection questions:</w:t>
      </w:r>
    </w:p>
    <w:p>
      <w:pPr>
        <w:pStyle w:val="ListParagraph"/>
        <w:numPr>
          <w:ilvl w:val="0"/>
          <w:numId w:val="2"/>
        </w:numPr>
        <w:spacing w:before="40" w:after="40"/>
      </w:pPr>
      <w:r>
        <w:rPr>
          <w:rFonts w:ascii="Arial" w:cs="Arial" w:eastAsia="Arial" w:hAnsi="Arial"/>
          <w:sz w:val="22"/>
          <w:szCs w:val="22"/>
        </w:rPr>
        <w:t xml:space="preserve">Generate questions like: 'Is this transaction pattern consistent with structuring?' using IBM AML transaction records as context</w:t>
      </w:r>
    </w:p>
    <w:p>
      <w:pPr>
        <w:pStyle w:val="ListParagraph"/>
        <w:numPr>
          <w:ilvl w:val="0"/>
          <w:numId w:val="2"/>
        </w:numPr>
        <w:spacing w:before="40" w:after="40"/>
      </w:pPr>
      <w:r>
        <w:rPr>
          <w:rFonts w:ascii="Arial" w:cs="Arial" w:eastAsia="Arial" w:hAnsi="Arial"/>
          <w:sz w:val="22"/>
          <w:szCs w:val="22"/>
        </w:rPr>
        <w:t xml:space="preserve">Preferred response: identifies the correct red flags using FATF/FinCEN terminology</w:t>
      </w:r>
    </w:p>
    <w:p>
      <w:pPr>
        <w:pStyle w:val="ListParagraph"/>
        <w:numPr>
          <w:ilvl w:val="0"/>
          <w:numId w:val="2"/>
        </w:numPr>
        <w:spacing w:before="40" w:after="40"/>
      </w:pPr>
      <w:r>
        <w:rPr>
          <w:rFonts w:ascii="Arial" w:cs="Arial" w:eastAsia="Arial" w:hAnsi="Arial"/>
          <w:sz w:val="22"/>
          <w:szCs w:val="22"/>
        </w:rPr>
        <w:t xml:space="preserve">Rejected response: misses red flags or uses incorrect thresholds</w:t>
      </w:r>
    </w:p>
    <w:p>
      <w:pPr>
        <w:pStyle w:val="ListParagraph"/>
        <w:numPr>
          <w:ilvl w:val="0"/>
          <w:numId w:val="2"/>
        </w:numPr>
        <w:spacing w:before="40" w:after="40"/>
      </w:pPr>
      <w:r>
        <w:rPr>
          <w:rFonts w:ascii="Arial" w:cs="Arial" w:eastAsia="Arial" w:hAnsi="Arial"/>
          <w:sz w:val="22"/>
          <w:szCs w:val="22"/>
        </w:rPr>
        <w:t xml:space="preserve">Fully synthetic — not based on real individuals, safe for portfolio use</w:t>
      </w:r>
    </w:p>
    <w:p>
      <w:pPr>
        <w:spacing w:before="40" w:after="40"/>
      </w:pPr>
      <w:r>
        <w:t xml:space="preserve"/>
      </w:r>
    </w:p>
    <w:p>
      <w:pPr>
        <w:spacing w:before="40" w:after="40"/>
      </w:pPr>
      <w:r>
        <w:t xml:space="preserve"/>
      </w:r>
    </w:p>
    <w:p>
      <w:r>
        <w:br w:type="page"/>
      </w:r>
    </w:p>
    <w:p>
      <w:pPr>
        <w:pStyle w:val="Heading1"/>
        <w:pBdr>
          <w:bottom w:val="single" w:color="2E86AB" w:sz="6" w:space="4"/>
        </w:pBdr>
        <w:spacing w:before="360" w:after="160"/>
      </w:pPr>
      <w:r>
        <w:rPr>
          <w:rFonts w:ascii="Arial" w:cs="Arial" w:eastAsia="Arial" w:hAnsi="Arial"/>
          <w:b/>
          <w:bCs/>
          <w:color w:val="0D2E5A"/>
          <w:sz w:val="36"/>
          <w:szCs w:val="36"/>
        </w:rPr>
        <w:t xml:space="preserve">Layer 4 — Benchmarking Datasets</w:t>
      </w:r>
    </w:p>
    <w:p>
      <w:pPr>
        <w:spacing w:before="60" w:after="60"/>
      </w:pPr>
      <w:r>
        <w:rPr>
          <w:rFonts w:ascii="Arial" w:cs="Arial" w:eastAsia="Arial" w:hAnsi="Arial"/>
          <w:color w:val="222222"/>
          <w:sz w:val="22"/>
          <w:szCs w:val="22"/>
        </w:rPr>
        <w:t xml:space="preserve">Run your Tunix-tuned model against these standard benchmarks to produce concrete before/after performance numbers — essential for interview credibility and GitHub README impact.</w:t>
      </w:r>
    </w:p>
    <w:p>
      <w:pPr>
        <w:spacing w:before="40" w:after="40"/>
      </w:pPr>
      <w:r>
        <w:t xml:space="preserve"/>
      </w:r>
    </w:p>
    <w:p>
      <w:pPr>
        <w:pStyle w:val="Heading2"/>
        <w:spacing w:before="260" w:after="100"/>
      </w:pPr>
      <w:r>
        <w:rPr>
          <w:rFonts w:ascii="Arial" w:cs="Arial" w:eastAsia="Arial" w:hAnsi="Arial"/>
          <w:b/>
          <w:bCs/>
          <w:color w:val="1B4F8A"/>
          <w:sz w:val="28"/>
          <w:szCs w:val="28"/>
        </w:rPr>
        <w:t xml:space="preserve">4.1  Open FinLLM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30"/>
              <w:bottom w:type="dxa" w:w="80"/>
              <w:right w:type="dxa" w:w="130"/>
            </w:tcMar>
          </w:tcPr>
          <w:p>
            <w:r>
              <w:rPr>
                <w:rFonts w:ascii="Arial" w:cs="Arial" w:eastAsia="Arial" w:hAnsi="Arial"/>
                <w:b/>
                <w:bCs/>
                <w:color w:val="FFFFFF"/>
                <w:sz w:val="20"/>
                <w:szCs w:val="20"/>
              </w:rPr>
              <w:t xml:space="preserve">HuggingFace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sz w:val="20"/>
                <w:szCs w:val="20"/>
              </w:rPr>
              <w:t xml:space="preserve">huggingface.co/blog/leaderboard-finbench</w:t>
            </w:r>
          </w:p>
        </w:tc>
      </w:tr>
    </w:tbl>
    <w:p>
      <w:pPr>
        <w:spacing w:before="40" w:after="40"/>
      </w:pPr>
      <w:r>
        <w:t xml:space="preserve"/>
      </w:r>
    </w:p>
    <w:p>
      <w:pPr>
        <w:spacing w:before="60" w:after="60"/>
      </w:pPr>
      <w:r>
        <w:rPr>
          <w:rFonts w:ascii="Arial" w:cs="Arial" w:eastAsia="Arial" w:hAnsi="Arial"/>
          <w:color w:val="222222"/>
          <w:sz w:val="22"/>
          <w:szCs w:val="22"/>
        </w:rPr>
        <w:t xml:space="preserve">The Open FinLLM Leaderboard covers 7 task categories used to evaluate financial LLMs in zero-shot conditions. Running your model here gives you an industry-standard benchmark score to cite: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528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Category</w:t>
            </w:r>
          </w:p>
        </w:tc>
        <w:tc>
          <w:tcPr>
            <w:tcW w:type="dxa" w:w="264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Task Code</w:t>
            </w:r>
          </w:p>
        </w:tc>
        <w:tc>
          <w:tcPr>
            <w:tcW w:type="dxa" w:w="528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FinSight Relevance</w:t>
            </w:r>
          </w:p>
        </w:tc>
      </w:tr>
      <w:tr>
        <w:tc>
          <w:tcPr>
            <w:tcW w:type="dxa" w:w="14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IE</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Information Extraction</w:t>
            </w:r>
          </w:p>
        </w:tc>
        <w:tc>
          <w:tcPr>
            <w:tcW w:type="dxa" w:w="52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Named entity recognition from SEC filings — tests chunking + retrieval quality</w:t>
            </w:r>
          </w:p>
        </w:tc>
      </w:tr>
      <w:tr>
        <w:tc>
          <w:tcPr>
            <w:tcW w:type="dxa" w:w="14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QA</w:t>
            </w:r>
          </w:p>
        </w:tc>
        <w:tc>
          <w:tcPr>
            <w:tcW w:type="dxa" w:w="26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Question Answering</w:t>
            </w:r>
          </w:p>
        </w:tc>
        <w:tc>
          <w:tcPr>
            <w:tcW w:type="dxa" w:w="52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Direct test of RAG pipeline end-to-end — your primary benchmark category</w:t>
            </w:r>
          </w:p>
        </w:tc>
      </w:tr>
      <w:tr>
        <w:tc>
          <w:tcPr>
            <w:tcW w:type="dxa" w:w="14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TA</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Textual Analysis</w:t>
            </w:r>
          </w:p>
        </w:tc>
        <w:tc>
          <w:tcPr>
            <w:tcW w:type="dxa" w:w="52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Sentiment analysis on financial news — tests generation layer language understanding</w:t>
            </w:r>
          </w:p>
        </w:tc>
      </w:tr>
      <w:tr>
        <w:tc>
          <w:tcPr>
            <w:tcW w:type="dxa" w:w="14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TG</w:t>
            </w:r>
          </w:p>
        </w:tc>
        <w:tc>
          <w:tcPr>
            <w:tcW w:type="dxa" w:w="26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Text Generation</w:t>
            </w:r>
          </w:p>
        </w:tc>
        <w:tc>
          <w:tcPr>
            <w:tcW w:type="dxa" w:w="52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Summarization of earnings calls and filings — tests generation quality</w:t>
            </w:r>
          </w:p>
        </w:tc>
      </w:tr>
      <w:tr>
        <w:tc>
          <w:tcPr>
            <w:tcW w:type="dxa" w:w="14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RM</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Risk Management</w:t>
            </w:r>
          </w:p>
        </w:tc>
        <w:tc>
          <w:tcPr>
            <w:tcW w:type="dxa" w:w="52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Risk factor classification — directly relevant to compliance use case</w:t>
            </w:r>
          </w:p>
        </w:tc>
      </w:tr>
      <w:tr>
        <w:tc>
          <w:tcPr>
            <w:tcW w:type="dxa" w:w="14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FO</w:t>
            </w:r>
          </w:p>
        </w:tc>
        <w:tc>
          <w:tcPr>
            <w:tcW w:type="dxa" w:w="264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Forecasting</w:t>
            </w:r>
          </w:p>
        </w:tc>
        <w:tc>
          <w:tcPr>
            <w:tcW w:type="dxa" w:w="52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Financial metric prediction — tests numerical reasoning tools</w:t>
            </w:r>
          </w:p>
        </w:tc>
      </w:tr>
      <w:tr>
        <w:tc>
          <w:tcPr>
            <w:tcW w:type="dxa" w:w="14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DM</w:t>
            </w:r>
          </w:p>
        </w:tc>
        <w:tc>
          <w:tcPr>
            <w:tcW w:type="dxa" w:w="264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Decision-Making</w:t>
            </w:r>
          </w:p>
        </w:tc>
        <w:tc>
          <w:tcPr>
            <w:tcW w:type="dxa" w:w="52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Investment/risk decisions — tests guardrails and regulatory output filtering</w:t>
            </w:r>
          </w:p>
        </w:tc>
      </w:tr>
    </w:tbl>
    <w:p>
      <w:pPr>
        <w:spacing w:before="40" w:after="40"/>
      </w:pPr>
      <w:r>
        <w:t xml:space="preserve"/>
      </w:r>
    </w:p>
    <w:p>
      <w:pPr>
        <w:spacing w:before="60" w:after="60"/>
      </w:pPr>
      <w:r>
        <w:rPr>
          <w:rFonts w:ascii="Arial" w:cs="Arial" w:eastAsia="Arial" w:hAnsi="Arial"/>
          <w:color w:val="222222"/>
          <w:sz w:val="22"/>
          <w:szCs w:val="22"/>
        </w:rPr>
        <w:t xml:space="preserve">Interview talking point: 'After Tunix fine-tuning, our Gemma 2B model improved on the Open FinLLM QA and RM categories, matching GPT-4o performance at a fraction of the serving cost.'</w:t>
      </w:r>
    </w:p>
    <w:p>
      <w:pPr>
        <w:spacing w:before="40" w:after="40"/>
      </w:pPr>
      <w:r>
        <w:t xml:space="preserve"/>
      </w:r>
    </w:p>
    <w:p>
      <w:pPr>
        <w:spacing w:before="40" w:after="40"/>
      </w:pPr>
      <w:r>
        <w:t xml:space="preserve"/>
      </w:r>
    </w:p>
    <w:p>
      <w:pPr>
        <w:pStyle w:val="Heading2"/>
        <w:spacing w:before="260" w:after="100"/>
      </w:pPr>
      <w:r>
        <w:rPr>
          <w:rFonts w:ascii="Arial" w:cs="Arial" w:eastAsia="Arial" w:hAnsi="Arial"/>
          <w:b/>
          <w:bCs/>
          <w:color w:val="1B4F8A"/>
          <w:sz w:val="28"/>
          <w:szCs w:val="28"/>
        </w:rPr>
        <w:t xml:space="preserve">4.2  FinanceBench as Benchmark (Re-use)</w:t>
      </w:r>
    </w:p>
    <w:p>
      <w:pPr>
        <w:spacing w:before="60" w:after="60"/>
      </w:pPr>
      <w:r>
        <w:rPr>
          <w:rFonts w:ascii="Arial" w:cs="Arial" w:eastAsia="Arial" w:hAnsi="Arial"/>
          <w:color w:val="222222"/>
          <w:sz w:val="22"/>
          <w:szCs w:val="22"/>
        </w:rPr>
        <w:t xml:space="preserve">FinanceBench doubles as both your golden eval set (Layer 2) and a public benchmark. Because it tests 16 model configurations including GPT-4-Turbo, Llama2, and Claude2, you can directly compare your Tunix-tuned Gemma against these baselines and cite the published scores in your README.</w:t>
      </w:r>
    </w:p>
    <w:p>
      <w:pPr>
        <w:spacing w:before="40" w:after="40"/>
      </w:pPr>
      <w:r>
        <w:t xml:space="preserve"/>
      </w:r>
    </w:p>
    <w:p>
      <w:pPr>
        <w:spacing w:before="40" w:after="40"/>
      </w:pPr>
      <w:r>
        <w:t xml:space="preserve"/>
      </w:r>
    </w:p>
    <w:p>
      <w:pPr>
        <w:pStyle w:val="Heading1"/>
        <w:pBdr>
          <w:bottom w:val="single" w:color="2E86AB" w:sz="6" w:space="4"/>
        </w:pBdr>
        <w:spacing w:before="360" w:after="160"/>
      </w:pPr>
      <w:r>
        <w:rPr>
          <w:rFonts w:ascii="Arial" w:cs="Arial" w:eastAsia="Arial" w:hAnsi="Arial"/>
          <w:b/>
          <w:bCs/>
          <w:color w:val="0D2E5A"/>
          <w:sz w:val="36"/>
          <w:szCs w:val="36"/>
        </w:rPr>
        <w:t xml:space="preserve">Combined Dataset Pipeline</w:t>
      </w:r>
    </w:p>
    <w:p>
      <w:pPr>
        <w:spacing w:before="60" w:after="60"/>
      </w:pPr>
      <w:r>
        <w:rPr>
          <w:rFonts w:ascii="Arial" w:cs="Arial" w:eastAsia="Arial" w:hAnsi="Arial"/>
          <w:color w:val="222222"/>
          <w:sz w:val="22"/>
          <w:szCs w:val="22"/>
        </w:rPr>
        <w:t xml:space="preserve">Here is the complete one-file script that loads, merges, and formats all datasets for FinSight RAG: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before="0" w:after="20"/>
            </w:pPr>
            <w:r>
              <w:rPr>
                <w:rFonts w:ascii="Courier New" w:cs="Courier New" w:eastAsia="Courier New" w:hAnsi="Courier New"/>
                <w:color w:val="888888"/>
                <w:sz w:val="17"/>
                <w:szCs w:val="17"/>
              </w:rPr>
              <w:t xml:space="preserve"># scripts/load_datasets.py — FinSight RAG dataset pipeline</w:t>
            </w:r>
          </w:p>
          <w:p>
            <w:pPr>
              <w:spacing w:before="0" w:after="20"/>
            </w:pPr>
            <w:r>
              <w:rPr>
                <w:rFonts w:ascii="Courier New" w:cs="Courier New" w:eastAsia="Courier New" w:hAnsi="Courier New"/>
                <w:color w:val="A8D8A8"/>
                <w:sz w:val="17"/>
                <w:szCs w:val="17"/>
              </w:rPr>
              <w:t xml:space="preserve">from datasets import load_dataset, concatenate_datasets</w:t>
            </w:r>
          </w:p>
          <w:p>
            <w:pPr>
              <w:spacing w:before="0" w:after="40"/>
            </w:pPr>
            <w:r>
              <w:rPr>
                <w:rFonts w:ascii="Courier New" w:cs="Courier New" w:eastAsia="Courier New" w:hAnsi="Courier New"/>
                <w:color w:val="A8D8A8"/>
                <w:sz w:val="17"/>
                <w:szCs w:val="17"/>
              </w:rPr>
              <w:t xml:space="preserve">import json, pandas as pd</w:t>
            </w:r>
          </w:p>
          <w:p>
            <w:pPr>
              <w:spacing w:before="0" w:after="20"/>
            </w:pPr>
            <w:r>
              <w:rPr>
                <w:rFonts w:ascii="Courier New" w:cs="Courier New" w:eastAsia="Courier New" w:hAnsi="Courier New"/>
                <w:color w:val="888888"/>
                <w:sz w:val="17"/>
                <w:szCs w:val="17"/>
              </w:rPr>
              <w:t xml:space="preserve"># ── Layer 2: QA Evaluation Datasets ──────────────────────────</w:t>
            </w:r>
          </w:p>
          <w:p>
            <w:pPr>
              <w:spacing w:before="0" w:after="20"/>
            </w:pPr>
            <w:r>
              <w:rPr>
                <w:rFonts w:ascii="Courier New" w:cs="Courier New" w:eastAsia="Courier New" w:hAnsi="Courier New"/>
                <w:color w:val="A8D8A8"/>
                <w:sz w:val="17"/>
                <w:szCs w:val="17"/>
              </w:rPr>
              <w:t xml:space="preserve">financebench = load_dataset('PatronusAI/financebench')       # 150 pairs</w:t>
            </w:r>
          </w:p>
          <w:p>
            <w:pPr>
              <w:spacing w:before="0" w:after="20"/>
            </w:pPr>
            <w:r>
              <w:rPr>
                <w:rFonts w:ascii="Courier New" w:cs="Courier New" w:eastAsia="Courier New" w:hAnsi="Courier New"/>
                <w:color w:val="A8D8A8"/>
                <w:sz w:val="17"/>
                <w:szCs w:val="17"/>
              </w:rPr>
              <w:t xml:space="preserve">finqa        = load_dataset('embedding-benchmark/FinQA', 'default') # 8k pairs</w:t>
            </w:r>
          </w:p>
          <w:p>
            <w:pPr>
              <w:spacing w:before="0" w:after="20"/>
            </w:pPr>
            <w:r>
              <w:rPr>
                <w:rFonts w:ascii="Courier New" w:cs="Courier New" w:eastAsia="Courier New" w:hAnsi="Courier New"/>
                <w:color w:val="A8D8A8"/>
                <w:sz w:val="17"/>
                <w:szCs w:val="17"/>
              </w:rPr>
              <w:t xml:space="preserve">fintextqa    = load_dataset('GPS-Lab/FinTextQA')              # 1,262 pairs</w:t>
            </w:r>
          </w:p>
          <w:p>
            <w:pPr>
              <w:spacing w:before="0" w:after="40"/>
            </w:pPr>
            <w:r>
              <w:rPr>
                <w:rFonts w:ascii="Courier New" w:cs="Courier New" w:eastAsia="Courier New" w:hAnsi="Courier New"/>
                <w:color w:val="A8D8A8"/>
                <w:sz w:val="17"/>
                <w:szCs w:val="17"/>
              </w:rPr>
              <w:t xml:space="preserve">fiqa         = load_dataset('LLukas22/fiqa')                  # ~5,500 pairs</w:t>
            </w:r>
          </w:p>
          <w:p>
            <w:pPr>
              <w:spacing w:before="0" w:after="20"/>
            </w:pPr>
            <w:r>
              <w:rPr>
                <w:rFonts w:ascii="Courier New" w:cs="Courier New" w:eastAsia="Courier New" w:hAnsi="Courier New"/>
                <w:color w:val="888888"/>
                <w:sz w:val="17"/>
                <w:szCs w:val="17"/>
              </w:rPr>
              <w:t xml:space="preserve"># ── Layer 3a: Build SFT training data ────────────────────────</w:t>
            </w:r>
          </w:p>
          <w:p>
            <w:pPr>
              <w:spacing w:before="0" w:after="20"/>
            </w:pPr>
            <w:r>
              <w:rPr>
                <w:rFonts w:ascii="Courier New" w:cs="Courier New" w:eastAsia="Courier New" w:hAnsi="Courier New"/>
                <w:color w:val="A8D8A8"/>
                <w:sz w:val="17"/>
                <w:szCs w:val="17"/>
              </w:rPr>
              <w:t xml:space="preserve">def to_sft(q, a, ctx=''):</w:t>
            </w:r>
          </w:p>
          <w:p>
            <w:pPr>
              <w:spacing w:before="0" w:after="40"/>
            </w:pPr>
            <w:r>
              <w:rPr>
                <w:rFonts w:ascii="Courier New" w:cs="Courier New" w:eastAsia="Courier New" w:hAnsi="Courier New"/>
                <w:color w:val="A8D8A8"/>
                <w:sz w:val="17"/>
                <w:szCs w:val="17"/>
              </w:rPr>
              <w:t xml:space="preserve">    return {'prompt': f'Context: {ctx}\nQ: {q}', 'completion': a}</w:t>
            </w:r>
          </w:p>
          <w:p>
            <w:pPr>
              <w:spacing w:before="0" w:after="20"/>
            </w:pPr>
            <w:r>
              <w:rPr>
                <w:rFonts w:ascii="Courier New" w:cs="Courier New" w:eastAsia="Courier New" w:hAnsi="Courier New"/>
                <w:color w:val="A8D8A8"/>
                <w:sz w:val="17"/>
                <w:szCs w:val="17"/>
              </w:rPr>
              <w:t xml:space="preserve">sft = [to_sft(r['question'], r['answer'], r.get('evidence',''))</w:t>
            </w:r>
          </w:p>
          <w:p>
            <w:pPr>
              <w:spacing w:before="0" w:after="20"/>
            </w:pPr>
            <w:r>
              <w:rPr>
                <w:rFonts w:ascii="Courier New" w:cs="Courier New" w:eastAsia="Courier New" w:hAnsi="Courier New"/>
                <w:color w:val="A8D8A8"/>
                <w:sz w:val="17"/>
                <w:szCs w:val="17"/>
              </w:rPr>
              <w:t xml:space="preserve">       for r in financebench['train']]</w:t>
            </w:r>
          </w:p>
          <w:p>
            <w:pPr>
              <w:spacing w:before="0" w:after="20"/>
            </w:pPr>
            <w:r>
              <w:rPr>
                <w:rFonts w:ascii="Courier New" w:cs="Courier New" w:eastAsia="Courier New" w:hAnsi="Courier New"/>
                <w:color w:val="A8D8A8"/>
                <w:sz w:val="17"/>
                <w:szCs w:val="17"/>
              </w:rPr>
              <w:t xml:space="preserve">sft += [to_sft(r['question'], r['answer'], r.get('context',''))</w:t>
            </w:r>
          </w:p>
          <w:p>
            <w:pPr>
              <w:spacing w:before="0" w:after="20"/>
            </w:pPr>
            <w:r>
              <w:rPr>
                <w:rFonts w:ascii="Courier New" w:cs="Courier New" w:eastAsia="Courier New" w:hAnsi="Courier New"/>
                <w:color w:val="A8D8A8"/>
                <w:sz w:val="17"/>
                <w:szCs w:val="17"/>
              </w:rPr>
              <w:t xml:space="preserve">        for r in fintextqa['train']]</w:t>
            </w:r>
          </w:p>
          <w:p>
            <w:pPr>
              <w:spacing w:before="0" w:after="40"/>
            </w:pPr>
            <w:r>
              <w:rPr>
                <w:rFonts w:ascii="Courier New" w:cs="Courier New" w:eastAsia="Courier New" w:hAnsi="Courier New"/>
                <w:color w:val="A8D8A8"/>
                <w:sz w:val="17"/>
                <w:szCs w:val="17"/>
              </w:rPr>
              <w:t xml:space="preserve">pd.DataFrame(sft).to_json('data/tunix_sft.jsonl', orient='records', lines=True)</w:t>
            </w:r>
          </w:p>
          <w:p>
            <w:pPr>
              <w:spacing w:before="0" w:after="20"/>
            </w:pPr>
            <w:r>
              <w:rPr>
                <w:rFonts w:ascii="Courier New" w:cs="Courier New" w:eastAsia="Courier New" w:hAnsi="Courier New"/>
                <w:color w:val="888888"/>
                <w:sz w:val="17"/>
                <w:szCs w:val="17"/>
              </w:rPr>
              <w:t xml:space="preserve"># ── Layer 3b: Build DPO pairs from RAGAS failures ────────────</w:t>
            </w:r>
          </w:p>
          <w:p>
            <w:pPr>
              <w:spacing w:before="0" w:after="20"/>
            </w:pPr>
            <w:r>
              <w:rPr>
                <w:rFonts w:ascii="Courier New" w:cs="Courier New" w:eastAsia="Courier New" w:hAnsi="Courier New"/>
                <w:color w:val="888888"/>
                <w:sz w:val="17"/>
                <w:szCs w:val="17"/>
              </w:rPr>
              <w:t xml:space="preserve"># After running RAGAS: filter rows where faithfulness &lt; 0.85</w:t>
            </w:r>
          </w:p>
          <w:p>
            <w:pPr>
              <w:spacing w:before="0" w:after="20"/>
            </w:pPr>
            <w:r>
              <w:rPr>
                <w:rFonts w:ascii="Courier New" w:cs="Courier New" w:eastAsia="Courier New" w:hAnsi="Courier New"/>
                <w:color w:val="888888"/>
                <w:sz w:val="17"/>
                <w:szCs w:val="17"/>
              </w:rPr>
              <w:t xml:space="preserve"># dpo_rejected = ragas_results[ragas_results.faithfulness &lt; 0.85]</w:t>
            </w:r>
          </w:p>
          <w:p>
            <w:pPr>
              <w:spacing w:before="0" w:after="20"/>
            </w:pPr>
            <w:r>
              <w:rPr>
                <w:rFonts w:ascii="Courier New" w:cs="Courier New" w:eastAsia="Courier New" w:hAnsi="Courier New"/>
                <w:color w:val="888888"/>
                <w:sz w:val="17"/>
                <w:szCs w:val="17"/>
              </w:rPr>
              <w:t xml:space="preserve"># dpo_preferred = run_gpt4o_on_same_queries(dpo_rejected)</w:t>
            </w:r>
          </w:p>
          <w:p>
            <w:pPr>
              <w:spacing w:before="0" w:after="0"/>
            </w:pPr>
            <w:r>
              <w:rPr>
                <w:rFonts w:ascii="Courier New" w:cs="Courier New" w:eastAsia="Courier New" w:hAnsi="Courier New"/>
                <w:color w:val="A8D8A8"/>
                <w:sz w:val="17"/>
                <w:szCs w:val="17"/>
              </w:rPr>
              <w:t xml:space="preserve">print(f'SFT pairs: {len(sft)} | Ready for Tunix SFTLearner')</w:t>
            </w:r>
          </w:p>
        </w:tc>
      </w:tr>
    </w:tbl>
    <w:p>
      <w:pPr>
        <w:spacing w:before="40" w:after="40"/>
      </w:pPr>
      <w:r>
        <w:t xml:space="preserve"/>
      </w:r>
    </w:p>
    <w:p>
      <w:pPr>
        <w:spacing w:before="40" w:after="40"/>
      </w:pPr>
      <w:r>
        <w:t xml:space="preserve"/>
      </w:r>
    </w:p>
    <w:p>
      <w:pPr>
        <w:pStyle w:val="Heading1"/>
        <w:pBdr>
          <w:bottom w:val="single" w:color="2E86AB" w:sz="6" w:space="4"/>
        </w:pBdr>
        <w:spacing w:before="360" w:after="160"/>
      </w:pPr>
      <w:r>
        <w:rPr>
          <w:rFonts w:ascii="Arial" w:cs="Arial" w:eastAsia="Arial" w:hAnsi="Arial"/>
          <w:b/>
          <w:bCs/>
          <w:color w:val="0D2E5A"/>
          <w:sz w:val="36"/>
          <w:szCs w:val="36"/>
        </w:rPr>
        <w:t xml:space="preserve">Quick Reference — All Datasets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1400"/>
        <w:gridCol w:w="1400"/>
        <w:gridCol w:w="2400"/>
      </w:tblGrid>
      <w:tr>
        <w:trPr>
          <w:tblHeader/>
        </w:trPr>
        <w:tc>
          <w:tcPr>
            <w:tcW w:type="dxa" w:w="36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L</w:t>
            </w:r>
          </w:p>
        </w:tc>
        <w:tc>
          <w:tcPr>
            <w:tcW w:type="dxa" w:w="200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HuggingFace Slug</w:t>
            </w:r>
          </w:p>
        </w:tc>
        <w:tc>
          <w:tcPr>
            <w:tcW w:type="dxa" w:w="140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Size</w:t>
            </w:r>
          </w:p>
        </w:tc>
        <w:tc>
          <w:tcPr>
            <w:tcW w:type="dxa" w:w="140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License</w:t>
            </w:r>
          </w:p>
        </w:tc>
        <w:tc>
          <w:tcPr>
            <w:tcW w:type="dxa" w:w="2400"/>
            <w:tcBorders>
              <w:top w:val="single" w:color="CCCCCC" w:sz="1"/>
              <w:left w:val="single" w:color="CCCCCC" w:sz="1"/>
              <w:bottom w:val="single" w:color="CCCCCC" w:sz="1"/>
              <w:right w:val="single" w:color="CCCCCC" w:sz="1"/>
            </w:tcBorders>
            <w:shd w:fill="0D2E5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Primary Use in FinSight</w:t>
            </w:r>
          </w:p>
        </w:tc>
      </w:tr>
      <w:tr>
        <w:tc>
          <w:tcPr>
            <w:tcW w:type="dxa" w:w="36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SEC EDGAR</w:t>
            </w:r>
          </w:p>
        </w:tc>
        <w:tc>
          <w:tcPr>
            <w:tcW w:type="dxa" w:w="1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N/A — direct download</w:t>
            </w:r>
          </w:p>
        </w:tc>
        <w:tc>
          <w:tcPr>
            <w:tcW w:type="dxa" w:w="1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Unlimited</w:t>
            </w:r>
          </w:p>
        </w:tc>
        <w:tc>
          <w:tcPr>
            <w:tcW w:type="dxa" w:w="1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Public domain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Document corpus — vector store ingest</w:t>
            </w:r>
          </w:p>
        </w:tc>
      </w:tr>
      <w:tr>
        <w:tc>
          <w:tcPr>
            <w:tcW w:type="dxa" w:w="360"/>
            <w:tcBorders>
              <w:top w:val="single" w:color="CCCCCC" w:sz="1"/>
              <w:left w:val="single" w:color="CCCCCC" w:sz="1"/>
              <w:bottom w:val="single" w:color="CCCCCC" w:sz="1"/>
              <w:right w:val="single" w:color="CCCCCC" w:sz="1"/>
            </w:tcBorders>
            <w:shd w:fill="1B4F8A"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Regulatory PDFs (CFPB, FDIC, FinCEN, FINRA)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N/A — gov websites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~50 docs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Public domain</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Compliance document corpus</w:t>
            </w:r>
          </w:p>
        </w:tc>
      </w:tr>
      <w:tr>
        <w:tc>
          <w:tcPr>
            <w:tcW w:type="dxa" w:w="360"/>
            <w:tcBorders>
              <w:top w:val="single" w:color="CCCCCC" w:sz="1"/>
              <w:left w:val="single" w:color="CCCCCC" w:sz="1"/>
              <w:bottom w:val="single" w:color="CCCCCC" w:sz="1"/>
              <w:right w:val="single" w:color="CCCCCC" w:sz="1"/>
            </w:tcBorders>
            <w:shd w:fill="1A7A4E"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FinanceBench ★</w:t>
            </w:r>
          </w:p>
        </w:tc>
        <w:tc>
          <w:tcPr>
            <w:tcW w:type="dxa" w:w="18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PatronusAI/financebench</w:t>
            </w:r>
          </w:p>
        </w:tc>
        <w:tc>
          <w:tcPr>
            <w:tcW w:type="dxa" w:w="14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150 pairs</w:t>
            </w:r>
          </w:p>
        </w:tc>
        <w:tc>
          <w:tcPr>
            <w:tcW w:type="dxa" w:w="14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CC BY 4.0</w:t>
            </w:r>
          </w:p>
        </w:tc>
        <w:tc>
          <w:tcPr>
            <w:tcW w:type="dxa" w:w="24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RAGAS golden set, primary benchmark</w:t>
            </w:r>
          </w:p>
        </w:tc>
      </w:tr>
      <w:tr>
        <w:tc>
          <w:tcPr>
            <w:tcW w:type="dxa" w:w="360"/>
            <w:tcBorders>
              <w:top w:val="single" w:color="CCCCCC" w:sz="1"/>
              <w:left w:val="single" w:color="CCCCCC" w:sz="1"/>
              <w:bottom w:val="single" w:color="CCCCCC" w:sz="1"/>
              <w:right w:val="single" w:color="CCCCCC" w:sz="1"/>
            </w:tcBorders>
            <w:shd w:fill="1A7A4E"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FinQA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embedding-benchmark/FinQA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8,000 pairs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CC BY 4.0</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Numerical reasoning eval, tool testing</w:t>
            </w:r>
          </w:p>
        </w:tc>
      </w:tr>
      <w:tr>
        <w:tc>
          <w:tcPr>
            <w:tcW w:type="dxa" w:w="360"/>
            <w:tcBorders>
              <w:top w:val="single" w:color="CCCCCC" w:sz="1"/>
              <w:left w:val="single" w:color="CCCCCC" w:sz="1"/>
              <w:bottom w:val="single" w:color="CCCCCC" w:sz="1"/>
              <w:right w:val="single" w:color="CCCCCC" w:sz="1"/>
            </w:tcBorders>
            <w:shd w:fill="1A7A4E"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FinTextQA</w:t>
            </w:r>
          </w:p>
        </w:tc>
        <w:tc>
          <w:tcPr>
            <w:tcW w:type="dxa" w:w="18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GPS-Lab/FinTextQA</w:t>
            </w:r>
          </w:p>
        </w:tc>
        <w:tc>
          <w:tcPr>
            <w:tcW w:type="dxa" w:w="14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1,262 pairs</w:t>
            </w:r>
          </w:p>
        </w:tc>
        <w:tc>
          <w:tcPr>
            <w:tcW w:type="dxa" w:w="14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CC BY 4.0</w:t>
            </w:r>
          </w:p>
        </w:tc>
        <w:tc>
          <w:tcPr>
            <w:tcW w:type="dxa" w:w="240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Regulatory &amp; compliance QA eval</w:t>
            </w:r>
          </w:p>
        </w:tc>
      </w:tr>
      <w:tr>
        <w:tc>
          <w:tcPr>
            <w:tcW w:type="dxa" w:w="360"/>
            <w:tcBorders>
              <w:top w:val="single" w:color="CCCCCC" w:sz="1"/>
              <w:left w:val="single" w:color="CCCCCC" w:sz="1"/>
              <w:bottom w:val="single" w:color="CCCCCC" w:sz="1"/>
              <w:right w:val="single" w:color="CCCCCC" w:sz="1"/>
            </w:tcBorders>
            <w:shd w:fill="1A7A4E"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FiQA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LLukas22/fiqa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~5,500 pairs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Academic</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General fintech QA breadth</w:t>
            </w:r>
          </w:p>
        </w:tc>
      </w:tr>
      <w:tr>
        <w:tc>
          <w:tcPr>
            <w:tcW w:type="dxa" w:w="360"/>
            <w:tcBorders>
              <w:top w:val="single" w:color="CCCCCC" w:sz="1"/>
              <w:left w:val="single" w:color="CCCCCC" w:sz="1"/>
              <w:bottom w:val="single" w:color="CCCCCC" w:sz="1"/>
              <w:right w:val="single" w:color="CCCCCC" w:sz="1"/>
            </w:tcBorders>
            <w:shd w:fill="5C3D8F"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SFT from FinanceBench + FinTextQA</w:t>
            </w:r>
          </w:p>
        </w:tc>
        <w:tc>
          <w:tcPr>
            <w:tcW w:type="dxa" w:w="18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Built from Layer 2</w:t>
            </w:r>
          </w:p>
        </w:tc>
        <w:tc>
          <w:tcPr>
            <w:tcW w:type="dxa" w:w="14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~1,400 pairs</w:t>
            </w:r>
          </w:p>
        </w:tc>
        <w:tc>
          <w:tcPr>
            <w:tcW w:type="dxa" w:w="14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Derived</w:t>
            </w:r>
          </w:p>
        </w:tc>
        <w:tc>
          <w:tcPr>
            <w:tcW w:type="dxa" w:w="24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Tunix SFTLearner — domain adaptation</w:t>
            </w:r>
          </w:p>
        </w:tc>
      </w:tr>
      <w:tr>
        <w:tc>
          <w:tcPr>
            <w:tcW w:type="dxa" w:w="360"/>
            <w:tcBorders>
              <w:top w:val="single" w:color="CCCCCC" w:sz="1"/>
              <w:left w:val="single" w:color="CCCCCC" w:sz="1"/>
              <w:bottom w:val="single" w:color="CCCCCC" w:sz="1"/>
              <w:right w:val="single" w:color="CCCCCC" w:sz="1"/>
            </w:tcBorders>
            <w:shd w:fill="5C3D8F"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GPT-4o Synthetic on EDGAR</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Self-generated</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~1,000 pairs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Own data</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Tunix SFTLearner — corpus-specific tuning</w:t>
            </w:r>
          </w:p>
        </w:tc>
      </w:tr>
      <w:tr>
        <w:tc>
          <w:tcPr>
            <w:tcW w:type="dxa" w:w="360"/>
            <w:tcBorders>
              <w:top w:val="single" w:color="CCCCCC" w:sz="1"/>
              <w:left w:val="single" w:color="CCCCCC" w:sz="1"/>
              <w:bottom w:val="single" w:color="CCCCCC" w:sz="1"/>
              <w:right w:val="single" w:color="CCCCCC" w:sz="1"/>
            </w:tcBorders>
            <w:shd w:fill="5C3D8F"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DPO from RAGAS failures</w:t>
            </w:r>
          </w:p>
        </w:tc>
        <w:tc>
          <w:tcPr>
            <w:tcW w:type="dxa" w:w="18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Self-generated</w:t>
            </w:r>
          </w:p>
        </w:tc>
        <w:tc>
          <w:tcPr>
            <w:tcW w:type="dxa" w:w="14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300-500 pairs</w:t>
            </w:r>
          </w:p>
        </w:tc>
        <w:tc>
          <w:tcPr>
            <w:tcW w:type="dxa" w:w="14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Own data</w:t>
            </w:r>
          </w:p>
        </w:tc>
        <w:tc>
          <w:tcPr>
            <w:tcW w:type="dxa" w:w="2400"/>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Tunix DPOTrainer — hallucination removal</w:t>
            </w:r>
          </w:p>
        </w:tc>
      </w:tr>
      <w:tr>
        <w:tc>
          <w:tcPr>
            <w:tcW w:type="dxa" w:w="360"/>
            <w:tcBorders>
              <w:top w:val="single" w:color="CCCCCC" w:sz="1"/>
              <w:left w:val="single" w:color="CCCCCC" w:sz="1"/>
              <w:bottom w:val="single" w:color="CCCCCC" w:sz="1"/>
              <w:right w:val="single" w:color="CCCCCC" w:sz="1"/>
            </w:tcBorders>
            <w:shd w:fill="5C3D8F"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IBM AML Synthetic Data</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github.com/IBM/AML-Data</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Synthetic txns</w:t>
            </w:r>
          </w:p>
        </w:tc>
        <w:tc>
          <w:tcPr>
            <w:tcW w:type="dxa" w:w="1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Open</w:t>
            </w:r>
          </w:p>
        </w:tc>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Compliance DPO pairs, AML query testing</w:t>
            </w:r>
          </w:p>
        </w:tc>
      </w:tr>
      <w:tr>
        <w:tc>
          <w:tcPr>
            <w:tcW w:type="dxa" w:w="360"/>
            <w:tcBorders>
              <w:top w:val="single" w:color="CCCCCC" w:sz="1"/>
              <w:left w:val="single" w:color="CCCCCC" w:sz="1"/>
              <w:bottom w:val="single" w:color="CCCCCC" w:sz="1"/>
              <w:right w:val="single" w:color="CCCCCC" w:sz="1"/>
            </w:tcBorders>
            <w:shd w:fill="B85C00" w:val="clear"/>
            <w:tcMar>
              <w:top w:type="dxa" w:w="90"/>
              <w:left w:type="dxa" w:w="130"/>
              <w:bottom w:type="dxa" w:w="90"/>
              <w:right w:type="dxa" w:w="130"/>
            </w:tcMar>
          </w:tcPr>
          <w:p>
            <w:pPr>
              <w:spacing w:before="0" w:after="0"/>
            </w:pPr>
            <w:r>
              <w:rPr>
                <w:rFonts w:ascii="Arial" w:cs="Arial" w:eastAsia="Arial" w:hAnsi="Arial"/>
                <w:b/>
                <w:bCs/>
                <w:color w:val="FFFFFF"/>
                <w:sz w:val="20"/>
                <w:szCs w:val="20"/>
              </w:rPr>
              <w:t xml:space="preserve">4</w:t>
            </w:r>
          </w:p>
        </w:tc>
        <w:tc>
          <w:tcPr>
            <w:tcW w:type="dxa" w:w="20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Open FinLLM Leaderboard</w:t>
            </w:r>
          </w:p>
        </w:tc>
        <w:tc>
          <w:tcPr>
            <w:tcW w:type="dxa" w:w="18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huggingface.co/blog/leaderboard-finbench</w:t>
            </w:r>
          </w:p>
        </w:tc>
        <w:tc>
          <w:tcPr>
            <w:tcW w:type="dxa" w:w="14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7 categories</w:t>
            </w:r>
          </w:p>
        </w:tc>
        <w:tc>
          <w:tcPr>
            <w:tcW w:type="dxa" w:w="14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Open</w:t>
            </w:r>
          </w:p>
        </w:tc>
        <w:tc>
          <w:tcPr>
            <w:tcW w:type="dxa" w:w="24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pPr>
              <w:spacing w:before="0" w:after="0"/>
            </w:pPr>
            <w:r>
              <w:rPr>
                <w:rFonts w:ascii="Arial" w:cs="Arial" w:eastAsia="Arial" w:hAnsi="Arial"/>
                <w:b w:val="false"/>
                <w:bCs w:val="false"/>
                <w:color w:val="222222"/>
                <w:sz w:val="20"/>
                <w:szCs w:val="20"/>
              </w:rPr>
              <w:t xml:space="preserve">Before/after model benchmark scores</w:t>
            </w:r>
          </w:p>
        </w:tc>
      </w:tr>
    </w:tbl>
    <w:p>
      <w:pPr>
        <w:spacing w:before="40" w:after="40"/>
      </w:pPr>
      <w:r>
        <w:t xml:space="preserve"/>
      </w:r>
    </w:p>
    <w:p>
      <w:pPr>
        <w:spacing w:before="40" w:after="40"/>
      </w:pPr>
      <w:r>
        <w:t xml:space="preserve"/>
      </w:r>
    </w:p>
    <w:p>
      <w:pPr>
        <w:pBdr>
          <w:top w:val="single" w:color="CCCCCC" w:sz="4" w:space="4"/>
        </w:pBdr>
        <w:spacing w:before="240"/>
        <w:jc w:val="center"/>
      </w:pPr>
      <w:r>
        <w:rPr>
          <w:rFonts w:ascii="Arial" w:cs="Arial" w:eastAsia="Arial" w:hAnsi="Arial"/>
          <w:i/>
          <w:iCs/>
          <w:color w:val="888888"/>
          <w:sz w:val="18"/>
          <w:szCs w:val="18"/>
        </w:rPr>
        <w:t xml:space="preserve">FinSight RAG — Dataset Master Guide | Shruti — Fiserv AI Implementation Engineer Portfolio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E5A"/>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2026-02-27T01:58:42.918Z</dcterms:created>
  <dcterms:modified xsi:type="dcterms:W3CDTF">2026-02-27T01:58:42.919Z</dcterms:modified>
</cp:coreProperties>
</file>

<file path=docProps/custom.xml><?xml version="1.0" encoding="utf-8"?>
<Properties xmlns="http://schemas.openxmlformats.org/officeDocument/2006/custom-properties" xmlns:vt="http://schemas.openxmlformats.org/officeDocument/2006/docPropsVTypes"/>
</file>