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CCFA" w14:textId="77777777" w:rsidR="00861AAB" w:rsidRDefault="00861AAB" w:rsidP="00861AAB">
      <w:pPr>
        <w:jc w:val="center"/>
      </w:pPr>
      <w:r>
        <w:rPr>
          <w:b/>
        </w:rPr>
        <w:t>Data Integrity and Model Protection in AI-Based Cybersecurity</w:t>
      </w:r>
    </w:p>
    <w:p w14:paraId="761389E1" w14:textId="77777777" w:rsidR="00861AAB" w:rsidRDefault="00861AAB" w:rsidP="00861AAB"/>
    <w:p w14:paraId="669D6EA1" w14:textId="77777777" w:rsidR="00861AAB" w:rsidRDefault="00861AAB" w:rsidP="00861AAB">
      <w:pPr>
        <w:jc w:val="center"/>
      </w:pPr>
      <w:r>
        <w:t>Shruti Malik</w:t>
      </w:r>
    </w:p>
    <w:p w14:paraId="40A9F3ED" w14:textId="77777777" w:rsidR="00861AAB" w:rsidRDefault="00861AAB" w:rsidP="00861AAB">
      <w:pPr>
        <w:jc w:val="center"/>
      </w:pPr>
      <w:r>
        <w:t>School of Business, Technology, and Health Care Administration, Capella University</w:t>
      </w:r>
    </w:p>
    <w:p w14:paraId="52FF91FB" w14:textId="77777777" w:rsidR="00861AAB" w:rsidRDefault="00861AAB" w:rsidP="00861AAB">
      <w:pPr>
        <w:jc w:val="center"/>
      </w:pPr>
      <w:r w:rsidRPr="009F587A">
        <w:t>IAS5201</w:t>
      </w:r>
    </w:p>
    <w:p w14:paraId="31901D94" w14:textId="77777777" w:rsidR="00861AAB" w:rsidRDefault="00861AAB" w:rsidP="00861AAB">
      <w:pPr>
        <w:jc w:val="center"/>
      </w:pPr>
      <w:r w:rsidRPr="009F587A">
        <w:t>Stuart McCubbrey</w:t>
      </w:r>
    </w:p>
    <w:p w14:paraId="00CB96FA" w14:textId="77777777" w:rsidR="00861AAB" w:rsidRDefault="00861AAB" w:rsidP="00861AAB">
      <w:pPr>
        <w:jc w:val="center"/>
      </w:pPr>
      <w:r>
        <w:t>November 1, 2026</w:t>
      </w:r>
    </w:p>
    <w:p w14:paraId="1D6BB0FD" w14:textId="77777777" w:rsidR="00861AAB" w:rsidRDefault="00861AAB" w:rsidP="00861AAB">
      <w:r>
        <w:br w:type="page"/>
      </w:r>
    </w:p>
    <w:p w14:paraId="4771AE48" w14:textId="77777777" w:rsidR="00861AAB" w:rsidRDefault="00861AAB" w:rsidP="00861AAB">
      <w:pPr>
        <w:jc w:val="center"/>
      </w:pPr>
      <w:r>
        <w:rPr>
          <w:b/>
        </w:rPr>
        <w:lastRenderedPageBreak/>
        <w:t>Data Integrity and Model Protection in AI-Based Cybersecurity</w:t>
      </w:r>
    </w:p>
    <w:p w14:paraId="6F37D35D" w14:textId="77777777" w:rsidR="00861AAB" w:rsidRDefault="00861AAB" w:rsidP="00861AAB">
      <w:r>
        <w:rPr>
          <w:b/>
        </w:rPr>
        <w:t>Part 1: Phishing Email Model Data Poisoning Analysis</w:t>
      </w:r>
    </w:p>
    <w:p w14:paraId="4BB478CA" w14:textId="77777777" w:rsidR="00861AAB" w:rsidRDefault="00861AAB" w:rsidP="00861AAB">
      <w:r>
        <w:rPr>
          <w:b/>
        </w:rPr>
        <w:t>Summary of Program Execution and Data Integrity Findings</w:t>
      </w:r>
    </w:p>
    <w:p w14:paraId="658ACDB3" w14:textId="77777777" w:rsidR="00861AAB" w:rsidRDefault="00861AAB" w:rsidP="00861AAB">
      <w:pPr>
        <w:ind w:firstLine="720"/>
      </w:pPr>
      <w:r>
        <w:t>The Python program evaluates how adversarial data poisoning compromises a machine learning phishing classifier. First, the script loads a 20-record email dataset containing four security features—subject length, spam keyword presence, sender reputation score, and link count—paired with a binary spam label. Second, it partitions the data into an 80% training set (16 samples) and a 20% testing set (4 samples) and trains a baseline Logistic Regression classifier, achieving 100.00% test accuracy (1.0000). Third, the script simulates an adversarial poisoning attack on 50% of the training data (8 samples) by inverting binary labels (0 to 1 and 1 to 0) and injecting heavy Gaussian noise (mean = 0, standard deviation = 20) into feature values. Retraining on this poisoned dataset reduced test accuracy to 50.00% (0.5000), a 50-percentage-point drop demonstrating that corrupted training data severely degrades model integrity.</w:t>
      </w:r>
    </w:p>
    <w:p w14:paraId="19023095" w14:textId="77777777" w:rsidR="00861AAB" w:rsidRDefault="00861AAB" w:rsidP="00861AAB"/>
    <w:p w14:paraId="040E94D5" w14:textId="77777777" w:rsidR="00861AAB" w:rsidRDefault="00861AAB" w:rsidP="00861AAB">
      <w:r>
        <w:rPr>
          <w:b/>
        </w:rPr>
        <w:t>Table 1</w:t>
      </w:r>
    </w:p>
    <w:p w14:paraId="3E70548B" w14:textId="77777777" w:rsidR="00861AAB" w:rsidRDefault="00861AAB" w:rsidP="00861AAB">
      <w:r>
        <w:rPr>
          <w:i/>
        </w:rPr>
        <w:t>Comparison of Logistic Regression Phishing Classifier Before and After Data Poisoning</w:t>
      </w:r>
    </w:p>
    <w:tbl>
      <w:tblPr>
        <w:tblW w:w="0" w:type="auto"/>
        <w:jc w:val="center"/>
        <w:tblLook w:val="04A0" w:firstRow="1" w:lastRow="0" w:firstColumn="1" w:lastColumn="0" w:noHBand="0" w:noVBand="1"/>
      </w:tblPr>
      <w:tblGrid>
        <w:gridCol w:w="2340"/>
        <w:gridCol w:w="2340"/>
        <w:gridCol w:w="2340"/>
        <w:gridCol w:w="2340"/>
      </w:tblGrid>
      <w:tr w:rsidR="00861AAB" w14:paraId="581B3667" w14:textId="77777777" w:rsidTr="001260D6">
        <w:trPr>
          <w:jc w:val="center"/>
        </w:trPr>
        <w:tc>
          <w:tcPr>
            <w:tcW w:w="2340" w:type="dxa"/>
          </w:tcPr>
          <w:p w14:paraId="766835EE" w14:textId="77777777" w:rsidR="00861AAB" w:rsidRDefault="00861AAB" w:rsidP="001260D6">
            <w:pPr>
              <w:spacing w:line="360" w:lineRule="auto"/>
            </w:pPr>
            <w:r>
              <w:rPr>
                <w:b/>
                <w:sz w:val="22"/>
              </w:rPr>
              <w:t>Evaluation Parameter</w:t>
            </w:r>
          </w:p>
        </w:tc>
        <w:tc>
          <w:tcPr>
            <w:tcW w:w="2340" w:type="dxa"/>
          </w:tcPr>
          <w:p w14:paraId="16E9D8B6" w14:textId="77777777" w:rsidR="00861AAB" w:rsidRDefault="00861AAB" w:rsidP="001260D6">
            <w:pPr>
              <w:spacing w:line="360" w:lineRule="auto"/>
            </w:pPr>
            <w:r>
              <w:rPr>
                <w:b/>
                <w:sz w:val="22"/>
              </w:rPr>
              <w:t>Original Clean Model</w:t>
            </w:r>
          </w:p>
        </w:tc>
        <w:tc>
          <w:tcPr>
            <w:tcW w:w="2340" w:type="dxa"/>
          </w:tcPr>
          <w:p w14:paraId="242B6B4D" w14:textId="77777777" w:rsidR="00861AAB" w:rsidRDefault="00861AAB" w:rsidP="001260D6">
            <w:pPr>
              <w:spacing w:line="360" w:lineRule="auto"/>
            </w:pPr>
            <w:r>
              <w:rPr>
                <w:b/>
                <w:sz w:val="22"/>
              </w:rPr>
              <w:t>Poisoned Model (50% Attack)</w:t>
            </w:r>
          </w:p>
        </w:tc>
        <w:tc>
          <w:tcPr>
            <w:tcW w:w="2340" w:type="dxa"/>
          </w:tcPr>
          <w:p w14:paraId="30C030C1" w14:textId="77777777" w:rsidR="00861AAB" w:rsidRDefault="00861AAB" w:rsidP="001260D6">
            <w:pPr>
              <w:spacing w:line="360" w:lineRule="auto"/>
            </w:pPr>
            <w:r>
              <w:rPr>
                <w:b/>
                <w:sz w:val="22"/>
              </w:rPr>
              <w:t>Observed Impact</w:t>
            </w:r>
          </w:p>
        </w:tc>
      </w:tr>
      <w:tr w:rsidR="00861AAB" w14:paraId="3C69A956" w14:textId="77777777" w:rsidTr="001260D6">
        <w:trPr>
          <w:jc w:val="center"/>
        </w:trPr>
        <w:tc>
          <w:tcPr>
            <w:tcW w:w="2340" w:type="dxa"/>
          </w:tcPr>
          <w:p w14:paraId="2702E28A" w14:textId="77777777" w:rsidR="00861AAB" w:rsidRDefault="00861AAB" w:rsidP="001260D6">
            <w:pPr>
              <w:spacing w:line="360" w:lineRule="auto"/>
            </w:pPr>
            <w:r>
              <w:rPr>
                <w:sz w:val="22"/>
              </w:rPr>
              <w:t>Training Set Records</w:t>
            </w:r>
          </w:p>
        </w:tc>
        <w:tc>
          <w:tcPr>
            <w:tcW w:w="2340" w:type="dxa"/>
          </w:tcPr>
          <w:p w14:paraId="34B988CC" w14:textId="77777777" w:rsidR="00861AAB" w:rsidRDefault="00861AAB" w:rsidP="001260D6">
            <w:pPr>
              <w:spacing w:line="360" w:lineRule="auto"/>
            </w:pPr>
            <w:r>
              <w:rPr>
                <w:sz w:val="22"/>
              </w:rPr>
              <w:t>16 clean email records</w:t>
            </w:r>
          </w:p>
        </w:tc>
        <w:tc>
          <w:tcPr>
            <w:tcW w:w="2340" w:type="dxa"/>
          </w:tcPr>
          <w:p w14:paraId="4CC1CA95" w14:textId="77777777" w:rsidR="00861AAB" w:rsidRDefault="00861AAB" w:rsidP="001260D6">
            <w:pPr>
              <w:spacing w:line="360" w:lineRule="auto"/>
            </w:pPr>
            <w:r>
              <w:rPr>
                <w:sz w:val="22"/>
              </w:rPr>
              <w:t>8 clean, 8 poisoned (50%)</w:t>
            </w:r>
          </w:p>
        </w:tc>
        <w:tc>
          <w:tcPr>
            <w:tcW w:w="2340" w:type="dxa"/>
          </w:tcPr>
          <w:p w14:paraId="4185931D" w14:textId="77777777" w:rsidR="00861AAB" w:rsidRDefault="00861AAB" w:rsidP="001260D6">
            <w:pPr>
              <w:spacing w:line="360" w:lineRule="auto"/>
            </w:pPr>
            <w:r>
              <w:rPr>
                <w:sz w:val="22"/>
              </w:rPr>
              <w:t>50% training data compromised</w:t>
            </w:r>
          </w:p>
        </w:tc>
      </w:tr>
      <w:tr w:rsidR="00861AAB" w14:paraId="34171DF4" w14:textId="77777777" w:rsidTr="001260D6">
        <w:trPr>
          <w:jc w:val="center"/>
        </w:trPr>
        <w:tc>
          <w:tcPr>
            <w:tcW w:w="2340" w:type="dxa"/>
          </w:tcPr>
          <w:p w14:paraId="3C920E00" w14:textId="77777777" w:rsidR="00861AAB" w:rsidRDefault="00861AAB" w:rsidP="001260D6">
            <w:pPr>
              <w:spacing w:line="360" w:lineRule="auto"/>
            </w:pPr>
            <w:r>
              <w:rPr>
                <w:sz w:val="22"/>
              </w:rPr>
              <w:t>Label Manipulation</w:t>
            </w:r>
          </w:p>
        </w:tc>
        <w:tc>
          <w:tcPr>
            <w:tcW w:w="2340" w:type="dxa"/>
          </w:tcPr>
          <w:p w14:paraId="4A2FF3F6" w14:textId="77777777" w:rsidR="00861AAB" w:rsidRDefault="00861AAB" w:rsidP="001260D6">
            <w:pPr>
              <w:spacing w:line="360" w:lineRule="auto"/>
            </w:pPr>
            <w:r>
              <w:rPr>
                <w:sz w:val="22"/>
              </w:rPr>
              <w:t>0 labels flipped (0%)</w:t>
            </w:r>
          </w:p>
        </w:tc>
        <w:tc>
          <w:tcPr>
            <w:tcW w:w="2340" w:type="dxa"/>
          </w:tcPr>
          <w:p w14:paraId="2CAEF5AA" w14:textId="77777777" w:rsidR="00861AAB" w:rsidRDefault="00861AAB" w:rsidP="001260D6">
            <w:pPr>
              <w:spacing w:line="360" w:lineRule="auto"/>
            </w:pPr>
            <w:r>
              <w:rPr>
                <w:sz w:val="22"/>
              </w:rPr>
              <w:t>8 labels inverted (0 &lt;-&gt; 1)</w:t>
            </w:r>
          </w:p>
        </w:tc>
        <w:tc>
          <w:tcPr>
            <w:tcW w:w="2340" w:type="dxa"/>
          </w:tcPr>
          <w:p w14:paraId="4F1357AB" w14:textId="77777777" w:rsidR="00861AAB" w:rsidRDefault="00861AAB" w:rsidP="001260D6">
            <w:pPr>
              <w:spacing w:line="360" w:lineRule="auto"/>
            </w:pPr>
            <w:r>
              <w:rPr>
                <w:sz w:val="22"/>
              </w:rPr>
              <w:t>Decision boundary inverted</w:t>
            </w:r>
          </w:p>
        </w:tc>
      </w:tr>
      <w:tr w:rsidR="00861AAB" w14:paraId="1D88CB6A" w14:textId="77777777" w:rsidTr="001260D6">
        <w:trPr>
          <w:jc w:val="center"/>
        </w:trPr>
        <w:tc>
          <w:tcPr>
            <w:tcW w:w="2340" w:type="dxa"/>
          </w:tcPr>
          <w:p w14:paraId="75E4E384" w14:textId="77777777" w:rsidR="00861AAB" w:rsidRDefault="00861AAB" w:rsidP="001260D6">
            <w:pPr>
              <w:spacing w:line="360" w:lineRule="auto"/>
            </w:pPr>
            <w:r>
              <w:rPr>
                <w:sz w:val="22"/>
              </w:rPr>
              <w:t>Feature Perturbation</w:t>
            </w:r>
          </w:p>
        </w:tc>
        <w:tc>
          <w:tcPr>
            <w:tcW w:w="2340" w:type="dxa"/>
          </w:tcPr>
          <w:p w14:paraId="68F942E6" w14:textId="77777777" w:rsidR="00861AAB" w:rsidRDefault="00861AAB" w:rsidP="001260D6">
            <w:pPr>
              <w:spacing w:line="360" w:lineRule="auto"/>
            </w:pPr>
            <w:r>
              <w:rPr>
                <w:sz w:val="22"/>
              </w:rPr>
              <w:t>Original feature values</w:t>
            </w:r>
          </w:p>
        </w:tc>
        <w:tc>
          <w:tcPr>
            <w:tcW w:w="2340" w:type="dxa"/>
          </w:tcPr>
          <w:p w14:paraId="3D886CD0" w14:textId="77777777" w:rsidR="00861AAB" w:rsidRDefault="00861AAB" w:rsidP="001260D6">
            <w:pPr>
              <w:spacing w:line="360" w:lineRule="auto"/>
            </w:pPr>
            <w:r>
              <w:rPr>
                <w:sz w:val="22"/>
              </w:rPr>
              <w:t xml:space="preserve">Gaussian noise </w:t>
            </w:r>
            <w:proofErr w:type="gramStart"/>
            <w:r>
              <w:rPr>
                <w:sz w:val="22"/>
              </w:rPr>
              <w:t>N(</w:t>
            </w:r>
            <w:proofErr w:type="gramEnd"/>
            <w:r>
              <w:rPr>
                <w:sz w:val="22"/>
              </w:rPr>
              <w:t>0, 20)</w:t>
            </w:r>
          </w:p>
        </w:tc>
        <w:tc>
          <w:tcPr>
            <w:tcW w:w="2340" w:type="dxa"/>
          </w:tcPr>
          <w:p w14:paraId="35C339AF" w14:textId="77777777" w:rsidR="00861AAB" w:rsidRDefault="00861AAB" w:rsidP="001260D6">
            <w:pPr>
              <w:spacing w:line="360" w:lineRule="auto"/>
            </w:pPr>
            <w:r>
              <w:rPr>
                <w:sz w:val="22"/>
              </w:rPr>
              <w:t>Signal-to-noise ratio degraded</w:t>
            </w:r>
          </w:p>
        </w:tc>
      </w:tr>
      <w:tr w:rsidR="00861AAB" w14:paraId="1A31CB79" w14:textId="77777777" w:rsidTr="001260D6">
        <w:trPr>
          <w:jc w:val="center"/>
        </w:trPr>
        <w:tc>
          <w:tcPr>
            <w:tcW w:w="2340" w:type="dxa"/>
          </w:tcPr>
          <w:p w14:paraId="23F05702" w14:textId="77777777" w:rsidR="00861AAB" w:rsidRDefault="00861AAB" w:rsidP="001260D6">
            <w:pPr>
              <w:spacing w:line="360" w:lineRule="auto"/>
            </w:pPr>
            <w:r>
              <w:rPr>
                <w:sz w:val="22"/>
              </w:rPr>
              <w:t>Test Set Accuracy</w:t>
            </w:r>
          </w:p>
        </w:tc>
        <w:tc>
          <w:tcPr>
            <w:tcW w:w="2340" w:type="dxa"/>
          </w:tcPr>
          <w:p w14:paraId="5646B5BA" w14:textId="77777777" w:rsidR="00861AAB" w:rsidRDefault="00861AAB" w:rsidP="001260D6">
            <w:pPr>
              <w:spacing w:line="360" w:lineRule="auto"/>
            </w:pPr>
            <w:r>
              <w:rPr>
                <w:sz w:val="22"/>
              </w:rPr>
              <w:t>100.00% (1.0000)</w:t>
            </w:r>
          </w:p>
        </w:tc>
        <w:tc>
          <w:tcPr>
            <w:tcW w:w="2340" w:type="dxa"/>
          </w:tcPr>
          <w:p w14:paraId="71B67DC7" w14:textId="77777777" w:rsidR="00861AAB" w:rsidRDefault="00861AAB" w:rsidP="001260D6">
            <w:pPr>
              <w:spacing w:line="360" w:lineRule="auto"/>
            </w:pPr>
            <w:r>
              <w:rPr>
                <w:sz w:val="22"/>
              </w:rPr>
              <w:t>50.00% (0.5000)</w:t>
            </w:r>
          </w:p>
        </w:tc>
        <w:tc>
          <w:tcPr>
            <w:tcW w:w="2340" w:type="dxa"/>
          </w:tcPr>
          <w:p w14:paraId="01043A00" w14:textId="77777777" w:rsidR="00861AAB" w:rsidRDefault="00861AAB" w:rsidP="001260D6">
            <w:pPr>
              <w:spacing w:line="360" w:lineRule="auto"/>
            </w:pPr>
            <w:r>
              <w:rPr>
                <w:sz w:val="22"/>
              </w:rPr>
              <w:t>-50 percentage points</w:t>
            </w:r>
          </w:p>
        </w:tc>
      </w:tr>
    </w:tbl>
    <w:p w14:paraId="0357A0A7" w14:textId="77777777" w:rsidR="00861AAB" w:rsidRDefault="00861AAB" w:rsidP="00861AAB">
      <w:r>
        <w:rPr>
          <w:i/>
        </w:rPr>
        <w:lastRenderedPageBreak/>
        <w:t xml:space="preserve">Note. </w:t>
      </w:r>
      <w:r>
        <w:t>Generative AI tools, Gemini (Google, 2026) and Claude (Anthropic, 2026), were used to assist with running, reviewing, and drafting this assignment.</w:t>
      </w:r>
    </w:p>
    <w:p w14:paraId="53BACE6B" w14:textId="77777777" w:rsidR="00861AAB" w:rsidRDefault="00861AAB" w:rsidP="00861AAB">
      <w:r>
        <w:br w:type="page"/>
      </w:r>
    </w:p>
    <w:p w14:paraId="408DB35A" w14:textId="77777777" w:rsidR="00861AAB" w:rsidRDefault="00861AAB" w:rsidP="00861AAB">
      <w:pPr>
        <w:jc w:val="center"/>
      </w:pPr>
      <w:r>
        <w:rPr>
          <w:b/>
        </w:rPr>
        <w:lastRenderedPageBreak/>
        <w:t>Part 2: Research on Model Protection Techniques in Cybersecurity</w:t>
      </w:r>
    </w:p>
    <w:p w14:paraId="17266900" w14:textId="77777777" w:rsidR="00861AAB" w:rsidRDefault="00861AAB" w:rsidP="00861AAB">
      <w:pPr>
        <w:ind w:firstLine="720"/>
      </w:pPr>
      <w:r>
        <w:t>Model protection safeguards deployed machine learning systems from attacks that steal, corrupt, or expose them. In cybersecurity, classifiers filter phishing, detect malware, and flag intrusions, so adversaries actively target their training data and parameters (Biggio &amp; Roli, 2018). Protecting model confidentiality and integrity preserves organizational trust in automated security defenses.</w:t>
      </w:r>
    </w:p>
    <w:p w14:paraId="3796EEA8" w14:textId="77777777" w:rsidR="00861AAB" w:rsidRDefault="00861AAB" w:rsidP="00861AAB">
      <w:r>
        <w:rPr>
          <w:b/>
        </w:rPr>
        <w:t>Technique 1: Differential Privacy</w:t>
      </w:r>
    </w:p>
    <w:p w14:paraId="344E6BB6" w14:textId="77777777" w:rsidR="00861AAB" w:rsidRDefault="00861AAB" w:rsidP="00861AAB">
      <w:pPr>
        <w:ind w:firstLine="720"/>
      </w:pPr>
      <w:r>
        <w:t xml:space="preserve">Differential privacy (DP) is a mathematical framework that limits how much any single training record can influence a model's outputs (Dwork &amp; Roth, 2014). In practice, Differentially Private Stochastic Gradient Descent (DP-SGD) clips each sample's gradient to a fixed norm and adds calibrated noise controlled by a privacy budget, epsilon (Abadi et al., 2016). Its main advantage is a </w:t>
      </w:r>
      <w:proofErr w:type="gramStart"/>
      <w:r>
        <w:t>provable</w:t>
      </w:r>
      <w:proofErr w:type="gramEnd"/>
      <w:r>
        <w:t xml:space="preserve"> bound on information leakage, which reduces the success of membership inference attacks that try to reveal whether a record was used in training. Because clipping and noise also cap each sample's influence, DP can blunt the effect of a small number of poisoned or mislabeled samples, although it does not stop large-scale poisoning such as the 50% label flip simulated here. In cybersecurity, DP suits collaborative training, such as several Security Operations Centers (SOCs) building a shared phishing or intrusion detection model from sensitive email telemetry and incident logs without exposing any organization's records. Privacy budgets also let defenders tune the tradeoff between model accuracy and privacy protection in production. Stronger noise improves protection but can noticeably reduce detection accuracy. The National Institute of Standards and Technology [NIST] (2023) taxonomy catalogs privacy and poisoning attacks that such controls help mitigate.</w:t>
      </w:r>
    </w:p>
    <w:p w14:paraId="3F87064D" w14:textId="77777777" w:rsidR="00861AAB" w:rsidRDefault="00861AAB" w:rsidP="00861AAB">
      <w:r>
        <w:rPr>
          <w:b/>
        </w:rPr>
        <w:t>Technique 2: Homomorphic Encryption</w:t>
      </w:r>
    </w:p>
    <w:p w14:paraId="3A098201" w14:textId="77777777" w:rsidR="00861AAB" w:rsidRDefault="00861AAB" w:rsidP="00861AAB">
      <w:pPr>
        <w:ind w:firstLine="720"/>
      </w:pPr>
      <w:r>
        <w:lastRenderedPageBreak/>
        <w:t>Homomorphic encryption (HE) allows computations to run directly on encrypted data, producing an encrypted result that matches the outcome of the same operations on plaintext once decrypted (Gentry, 2009). Modern schemes such as BFV and CKKS support addition and multiplication on ciphertexts, which is enough to evaluate many machine learning models. Its main advantage is confidentiality: raw features and, when needed, model parameters stay encrypted while an untrusted party processes them. Because computation occurs on ciphertexts, even a compromised cloud server cannot read the underlying sensitive data. Researchers have demonstrated neural network inference on encrypted inputs (Gilad-Bachrach et al., 2016), though HE adds significant computational cost. HE protects confidentiality rather than integrity, because ciphertexts can be altered without decryption, so it must be paired with authentication and provenance controls. Key management is especially essential, since anyone holding the decryption key can recover the plaintext results, so keys should stay with the data owner. In cybersecurity, a hospital or bank could encrypt email header and attachment features locally, send them to an external vendor's phishing classifier, and receive an encrypted verdict without disclosing sensitive communications. Similarly, a cloud-hosted intrusion detection service could analyze encrypted network telemetry without seeing plaintext traffic metadata.</w:t>
      </w:r>
    </w:p>
    <w:p w14:paraId="19CD2586" w14:textId="77777777" w:rsidR="00861AAB" w:rsidRDefault="00861AAB" w:rsidP="00861AAB">
      <w:r>
        <w:rPr>
          <w:b/>
        </w:rPr>
        <w:t>Offensive AI Operations, Data Poisoning, and Defensive Countermeasures</w:t>
      </w:r>
    </w:p>
    <w:p w14:paraId="6E255241" w14:textId="77777777" w:rsidR="00861AAB" w:rsidRDefault="00861AAB" w:rsidP="00861AAB">
      <w:pPr>
        <w:ind w:firstLine="720"/>
      </w:pPr>
      <w:r>
        <w:t xml:space="preserve">The poisoning exercise shows how threat actors attack AI-based defenses, and attackers can also use AI to do so more effectively. By flipping labels and adding Gaussian noise to half the training data, the simulation corrupted the Logistic Regression boundary and cut test accuracy from 100% to 50%. In practice, an adversary could automate the submission of phishing messages mislabeled as benign to a filter that retrains on user </w:t>
      </w:r>
      <w:proofErr w:type="gramStart"/>
      <w:r>
        <w:t>feedback, or</w:t>
      </w:r>
      <w:proofErr w:type="gramEnd"/>
      <w:r>
        <w:t xml:space="preserve"> use optimization or generative models to craft poison samples that look legitimate yet shift the </w:t>
      </w:r>
      <w:r>
        <w:lastRenderedPageBreak/>
        <w:t>decision boundary (Biggio et al., 2012). This creates blind spots through which spear-phishing bypasses detection. The researched techniques address different parts of this threat. Differential privacy limits how far a few poisoned samples can move the model and reduces leakage that helps attackers plan, while homomorphic encryption keeps training features and queries confidential from an attacker who gains access to cloud infrastructure, though it cannot detect poisoned data. Data validation, provenance checks, and anomaly detection on training data remain necessary complements.</w:t>
      </w:r>
    </w:p>
    <w:p w14:paraId="28D179E1" w14:textId="77777777" w:rsidR="00861AAB" w:rsidRDefault="00861AAB" w:rsidP="00861AAB">
      <w:r>
        <w:rPr>
          <w:b/>
        </w:rPr>
        <w:t>Conclusion</w:t>
      </w:r>
    </w:p>
    <w:p w14:paraId="073D86BB" w14:textId="77777777" w:rsidR="00861AAB" w:rsidRDefault="00861AAB" w:rsidP="00861AAB">
      <w:pPr>
        <w:ind w:firstLine="720"/>
      </w:pPr>
      <w:r>
        <w:t>Both techniques strengthen AI defenses but address different risks. Differential privacy is more effective during collaborative training, where it limits data leakage and the influence of a few poisoned samples at modest cost. Homomorphic encryption is better for outsourcing inference over confidential data to untrusted clouds. Neither replaces data validation.</w:t>
      </w:r>
    </w:p>
    <w:p w14:paraId="5E666D2D" w14:textId="77777777" w:rsidR="00861AAB" w:rsidRDefault="00861AAB" w:rsidP="00861AAB">
      <w:r>
        <w:br w:type="page"/>
      </w:r>
    </w:p>
    <w:p w14:paraId="1A774EDC" w14:textId="77777777" w:rsidR="00861AAB" w:rsidRDefault="00861AAB" w:rsidP="00861AAB">
      <w:pPr>
        <w:jc w:val="center"/>
      </w:pPr>
      <w:r>
        <w:rPr>
          <w:b/>
        </w:rPr>
        <w:lastRenderedPageBreak/>
        <w:t>References</w:t>
      </w:r>
    </w:p>
    <w:p w14:paraId="6E191CE5" w14:textId="77777777" w:rsidR="00861AAB" w:rsidRDefault="00861AAB" w:rsidP="00861AAB">
      <w:pPr>
        <w:ind w:left="720" w:hanging="720"/>
      </w:pPr>
      <w:r>
        <w:t xml:space="preserve">Abadi, M., Chu, A., Goodfellow, I., McMahan, H. B., Mironov, I., Talwar, K., &amp; Zhang, L. (2016). Deep learning with differential privacy. In </w:t>
      </w:r>
      <w:r>
        <w:rPr>
          <w:i/>
        </w:rPr>
        <w:t>Proceedings of the 2016 ACM SIGSAC Conference on Computer and Communications Security</w:t>
      </w:r>
      <w:r>
        <w:t xml:space="preserve"> (pp. 308–318). ACM. https://doi.org/10.1145/2976749.2978318</w:t>
      </w:r>
    </w:p>
    <w:p w14:paraId="54766843" w14:textId="77777777" w:rsidR="00861AAB" w:rsidRDefault="00861AAB" w:rsidP="00861AAB">
      <w:pPr>
        <w:ind w:left="720" w:hanging="720"/>
      </w:pPr>
      <w:r>
        <w:t xml:space="preserve">Anthropic. (2026). </w:t>
      </w:r>
      <w:r>
        <w:rPr>
          <w:i/>
        </w:rPr>
        <w:t>Claude Sonnet 5.5</w:t>
      </w:r>
      <w:r>
        <w:t xml:space="preserve"> [Large language model]. https://claude.ai</w:t>
      </w:r>
    </w:p>
    <w:p w14:paraId="5D8AC1E8" w14:textId="77777777" w:rsidR="00861AAB" w:rsidRDefault="00861AAB" w:rsidP="00861AAB">
      <w:pPr>
        <w:ind w:left="720" w:hanging="720"/>
      </w:pPr>
      <w:r>
        <w:t xml:space="preserve">Biggio, B., Nelson, B., &amp; Laskov, P. (2012). Poisoning attacks against support vector machines. In </w:t>
      </w:r>
      <w:r>
        <w:rPr>
          <w:i/>
        </w:rPr>
        <w:t>Proceedings of the 29th International Conference on Machine Learning</w:t>
      </w:r>
      <w:r>
        <w:t xml:space="preserve"> (pp. 1467–1474). </w:t>
      </w:r>
      <w:proofErr w:type="spellStart"/>
      <w:r>
        <w:t>Omnipress</w:t>
      </w:r>
      <w:proofErr w:type="spellEnd"/>
      <w:r>
        <w:t>.</w:t>
      </w:r>
    </w:p>
    <w:p w14:paraId="2F3DCCE1" w14:textId="77777777" w:rsidR="00861AAB" w:rsidRDefault="00861AAB" w:rsidP="00861AAB">
      <w:pPr>
        <w:ind w:left="720" w:hanging="720"/>
      </w:pPr>
      <w:r>
        <w:t xml:space="preserve">Biggio, B., &amp; Roli, F. (2018). Wild patterns: Ten years after the rise of adversarial machine learning. </w:t>
      </w:r>
      <w:r>
        <w:rPr>
          <w:i/>
        </w:rPr>
        <w:t>Pattern Recognition, 84</w:t>
      </w:r>
      <w:r>
        <w:t>, 317–331. https://doi.org/10.1016/j.patcog.2018.07.023</w:t>
      </w:r>
    </w:p>
    <w:p w14:paraId="70E9A748" w14:textId="77777777" w:rsidR="00861AAB" w:rsidRDefault="00861AAB" w:rsidP="00861AAB">
      <w:pPr>
        <w:ind w:left="720" w:hanging="720"/>
      </w:pPr>
      <w:r>
        <w:t xml:space="preserve">Dwork, C., &amp; Roth, A. (2014). The algorithmic foundations of differential privacy. </w:t>
      </w:r>
      <w:r>
        <w:rPr>
          <w:i/>
        </w:rPr>
        <w:t>Foundations and Trends in Theoretical Computer Science, 9</w:t>
      </w:r>
      <w:r>
        <w:t>(3–4), 211–407. https://doi.org/10.1561/0400000042</w:t>
      </w:r>
    </w:p>
    <w:p w14:paraId="4EC3634D" w14:textId="77777777" w:rsidR="00861AAB" w:rsidRDefault="00861AAB" w:rsidP="00861AAB">
      <w:pPr>
        <w:ind w:left="720" w:hanging="720"/>
      </w:pPr>
      <w:r>
        <w:t xml:space="preserve">Gentry, C. (2009). Fully homomorphic encryption using ideal lattices. In </w:t>
      </w:r>
      <w:r>
        <w:rPr>
          <w:i/>
        </w:rPr>
        <w:t>Proceedings of the Forty-First Annual ACM Symposium on Theory of Computing</w:t>
      </w:r>
      <w:r>
        <w:t xml:space="preserve"> (pp. 169–178). ACM. https://doi.org/10.1145/1536414.1536440</w:t>
      </w:r>
    </w:p>
    <w:p w14:paraId="38C55B69" w14:textId="77777777" w:rsidR="00861AAB" w:rsidRDefault="00861AAB" w:rsidP="00861AAB">
      <w:pPr>
        <w:ind w:left="720" w:hanging="720"/>
      </w:pPr>
      <w:r>
        <w:t xml:space="preserve">Gilad-Bachrach, R., Dowlin, N., Laine, K., Lauter, K., </w:t>
      </w:r>
      <w:proofErr w:type="spellStart"/>
      <w:r>
        <w:t>Naehrig</w:t>
      </w:r>
      <w:proofErr w:type="spellEnd"/>
      <w:r>
        <w:t xml:space="preserve">, M., &amp; Wernsing, J. (2016). </w:t>
      </w:r>
      <w:proofErr w:type="spellStart"/>
      <w:r>
        <w:t>CryptoNets</w:t>
      </w:r>
      <w:proofErr w:type="spellEnd"/>
      <w:r>
        <w:t xml:space="preserve">: Applying neural networks to encrypted data with high throughput and accuracy. In </w:t>
      </w:r>
      <w:r>
        <w:rPr>
          <w:i/>
        </w:rPr>
        <w:t>Proceedings of the 33rd International Conference on Machine Learning</w:t>
      </w:r>
      <w:r>
        <w:t xml:space="preserve"> (pp. 201–210). PMLR.</w:t>
      </w:r>
    </w:p>
    <w:p w14:paraId="0650AE34" w14:textId="77777777" w:rsidR="00861AAB" w:rsidRDefault="00861AAB" w:rsidP="00861AAB">
      <w:pPr>
        <w:ind w:left="720" w:hanging="720"/>
      </w:pPr>
      <w:r>
        <w:t xml:space="preserve">Google. (2026). </w:t>
      </w:r>
      <w:r>
        <w:rPr>
          <w:i/>
        </w:rPr>
        <w:t>Gemini 4 Argon</w:t>
      </w:r>
      <w:r>
        <w:t xml:space="preserve"> [Large language model]. https://gemini.google.com</w:t>
      </w:r>
    </w:p>
    <w:p w14:paraId="1D1C0445" w14:textId="6037B94F" w:rsidR="00861AAB" w:rsidRDefault="00861AAB" w:rsidP="00861AAB">
      <w:r>
        <w:lastRenderedPageBreak/>
        <w:t xml:space="preserve">National Institute of Standards and Technology. (2023). </w:t>
      </w:r>
      <w:r>
        <w:rPr>
          <w:i/>
        </w:rPr>
        <w:t>Adversarial machine learning: A taxonomy and terminology of attacks and mitigations</w:t>
      </w:r>
      <w:r>
        <w:t xml:space="preserve"> (NIST AI 100-2e2023). U.S. Department of Commerce. https://doi.org</w:t>
      </w:r>
    </w:p>
    <w:sectPr w:rsidR="00861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AB"/>
    <w:rsid w:val="00143B02"/>
    <w:rsid w:val="00861AAB"/>
    <w:rsid w:val="008F3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1AD2"/>
  <w15:chartTrackingRefBased/>
  <w15:docId w15:val="{B8AEA1BB-0147-4EAB-8695-5A4CEFF1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AAB"/>
    <w:pPr>
      <w:spacing w:after="0" w:line="480" w:lineRule="auto"/>
    </w:pPr>
    <w:rPr>
      <w:rFonts w:ascii="Times New Roman" w:eastAsiaTheme="minorEastAsia" w:hAnsi="Times New Roman"/>
      <w:color w:val="000000"/>
      <w:kern w:val="0"/>
      <w:szCs w:val="22"/>
      <w14:ligatures w14:val="none"/>
    </w:rPr>
  </w:style>
  <w:style w:type="paragraph" w:styleId="Heading1">
    <w:name w:val="heading 1"/>
    <w:basedOn w:val="Normal"/>
    <w:next w:val="Normal"/>
    <w:link w:val="Heading1Char"/>
    <w:uiPriority w:val="9"/>
    <w:qFormat/>
    <w:rsid w:val="00861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A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A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A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A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AAB"/>
    <w:rPr>
      <w:rFonts w:eastAsiaTheme="majorEastAsia" w:cstheme="majorBidi"/>
      <w:color w:val="272727" w:themeColor="text1" w:themeTint="D8"/>
    </w:rPr>
  </w:style>
  <w:style w:type="paragraph" w:styleId="Title">
    <w:name w:val="Title"/>
    <w:basedOn w:val="Normal"/>
    <w:next w:val="Normal"/>
    <w:link w:val="TitleChar"/>
    <w:uiPriority w:val="10"/>
    <w:qFormat/>
    <w:rsid w:val="00861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AAB"/>
    <w:pPr>
      <w:spacing w:before="160"/>
      <w:jc w:val="center"/>
    </w:pPr>
    <w:rPr>
      <w:i/>
      <w:iCs/>
      <w:color w:val="404040" w:themeColor="text1" w:themeTint="BF"/>
    </w:rPr>
  </w:style>
  <w:style w:type="character" w:customStyle="1" w:styleId="QuoteChar">
    <w:name w:val="Quote Char"/>
    <w:basedOn w:val="DefaultParagraphFont"/>
    <w:link w:val="Quote"/>
    <w:uiPriority w:val="29"/>
    <w:rsid w:val="00861AAB"/>
    <w:rPr>
      <w:i/>
      <w:iCs/>
      <w:color w:val="404040" w:themeColor="text1" w:themeTint="BF"/>
    </w:rPr>
  </w:style>
  <w:style w:type="paragraph" w:styleId="ListParagraph">
    <w:name w:val="List Paragraph"/>
    <w:basedOn w:val="Normal"/>
    <w:uiPriority w:val="34"/>
    <w:qFormat/>
    <w:rsid w:val="00861AAB"/>
    <w:pPr>
      <w:ind w:left="720"/>
      <w:contextualSpacing/>
    </w:pPr>
  </w:style>
  <w:style w:type="character" w:styleId="IntenseEmphasis">
    <w:name w:val="Intense Emphasis"/>
    <w:basedOn w:val="DefaultParagraphFont"/>
    <w:uiPriority w:val="21"/>
    <w:qFormat/>
    <w:rsid w:val="00861AAB"/>
    <w:rPr>
      <w:i/>
      <w:iCs/>
      <w:color w:val="0F4761" w:themeColor="accent1" w:themeShade="BF"/>
    </w:rPr>
  </w:style>
  <w:style w:type="paragraph" w:styleId="IntenseQuote">
    <w:name w:val="Intense Quote"/>
    <w:basedOn w:val="Normal"/>
    <w:next w:val="Normal"/>
    <w:link w:val="IntenseQuoteChar"/>
    <w:uiPriority w:val="30"/>
    <w:qFormat/>
    <w:rsid w:val="00861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AAB"/>
    <w:rPr>
      <w:i/>
      <w:iCs/>
      <w:color w:val="0F4761" w:themeColor="accent1" w:themeShade="BF"/>
    </w:rPr>
  </w:style>
  <w:style w:type="character" w:styleId="IntenseReference">
    <w:name w:val="Intense Reference"/>
    <w:basedOn w:val="DefaultParagraphFont"/>
    <w:uiPriority w:val="32"/>
    <w:qFormat/>
    <w:rsid w:val="00861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1293</Words>
  <Characters>7372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Malik</dc:creator>
  <cp:keywords/>
  <dc:description/>
  <cp:lastModifiedBy>Shruti Malik</cp:lastModifiedBy>
  <cp:revision>2</cp:revision>
  <dcterms:created xsi:type="dcterms:W3CDTF">2026-10-31T21:17:00Z</dcterms:created>
  <dcterms:modified xsi:type="dcterms:W3CDTF">2026-10-31T21:17:00Z</dcterms:modified>
</cp:coreProperties>
</file>