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E-Commerce Customer 360, Funnel, RFM &amp; Revenue Analytics</w:t>
      </w:r>
    </w:p>
    <w:p>
      <w:pPr>
        <w:jc w:val="center"/>
      </w:pPr>
      <w:r>
        <w:rPr>
          <w:i/>
        </w:rPr>
        <w:t>Final Data Analytics &amp; Machine Learning Project Documentation</w:t>
      </w:r>
    </w:p>
    <w:p>
      <w:pPr>
        <w:pStyle w:val="Heading1"/>
      </w:pPr>
      <w:r>
        <w:t>1. Project Overview</w:t>
      </w:r>
    </w:p>
    <w:p>
      <w:r>
        <w:t>An end-to-end customer analytics solution built with Google BigQuery, SQL, Python and Power BI. The project integrates e-commerce transaction, event and engagement data to create a Customer 360 view, perform RFM segmentation, analyze funnel and cohort behavior, estimate revenue at risk, and apply machine learning for churn, future revenue and customer clustering.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Google BigQuery</w:t>
            </w:r>
          </w:p>
        </w:tc>
        <w:tc>
          <w:tcPr>
            <w:tcW w:type="dxa" w:w="5040"/>
          </w:tcPr>
          <w:p>
            <w:r>
              <w:t>Data extraction, cleaning, transformation and analytical SQL</w:t>
            </w:r>
          </w:p>
        </w:tc>
      </w:tr>
      <w:tr>
        <w:tc>
          <w:tcPr>
            <w:tcW w:type="dxa" w:w="5040"/>
          </w:tcPr>
          <w:p>
            <w:r>
              <w:t>SQL</w:t>
            </w:r>
          </w:p>
        </w:tc>
        <w:tc>
          <w:tcPr>
            <w:tcW w:type="dxa" w:w="5040"/>
          </w:tcPr>
          <w:p>
            <w:r>
              <w:t>Customer 360, RFM, cohort, funnel, product, risk and revenue analysis</w:t>
            </w:r>
          </w:p>
        </w:tc>
      </w:tr>
      <w:tr>
        <w:tc>
          <w:tcPr>
            <w:tcW w:type="dxa" w:w="5040"/>
          </w:tcPr>
          <w:p>
            <w:r>
              <w:t>Python / Pandas</w:t>
            </w:r>
          </w:p>
        </w:tc>
        <w:tc>
          <w:tcPr>
            <w:tcW w:type="dxa" w:w="5040"/>
          </w:tcPr>
          <w:p>
            <w:r>
              <w:t>ML preparation, modeling, evaluation and prediction exports</w:t>
            </w:r>
          </w:p>
        </w:tc>
      </w:tr>
      <w:tr>
        <w:tc>
          <w:tcPr>
            <w:tcW w:type="dxa" w:w="5040"/>
          </w:tcPr>
          <w:p>
            <w:r>
              <w:t>Scikit-learn</w:t>
            </w:r>
          </w:p>
        </w:tc>
        <w:tc>
          <w:tcPr>
            <w:tcW w:type="dxa" w:w="5040"/>
          </w:tcPr>
          <w:p>
            <w:r>
              <w:t>Classification, regression, scaling, PCA and K-Means</w:t>
            </w:r>
          </w:p>
        </w:tc>
      </w:tr>
      <w:tr>
        <w:tc>
          <w:tcPr>
            <w:tcW w:type="dxa" w:w="5040"/>
          </w:tcPr>
          <w:p>
            <w:r>
              <w:t>Power BI</w:t>
            </w:r>
          </w:p>
        </w:tc>
        <w:tc>
          <w:tcPr>
            <w:tcW w:type="dxa" w:w="5040"/>
          </w:tcPr>
          <w:p>
            <w:r>
              <w:t>Interactive dashboards, KPIs and customer-level analysis</w:t>
            </w:r>
          </w:p>
        </w:tc>
      </w:tr>
      <w:tr>
        <w:tc>
          <w:tcPr>
            <w:tcW w:type="dxa" w:w="5040"/>
          </w:tcPr>
          <w:p>
            <w:r>
              <w:t>CSV / Excel</w:t>
            </w:r>
          </w:p>
        </w:tc>
        <w:tc>
          <w:tcPr>
            <w:tcW w:type="dxa" w:w="5040"/>
          </w:tcPr>
          <w:p>
            <w:r>
              <w:t>Data exchange and supporting analysis</w:t>
            </w:r>
          </w:p>
        </w:tc>
      </w:tr>
    </w:tbl>
    <w:p>
      <w:pPr>
        <w:pStyle w:val="Heading1"/>
      </w:pPr>
      <w:r>
        <w:t>3. Dataset</w:t>
      </w:r>
    </w:p>
    <w:p>
      <w:r>
        <w:t>Source: Google Analytics 4 BigQuery public sample e-commerce dataset `bigquery-public-data.ga4_obfuscated_sample_ecommerce.events_*`, covering approximately 92 days from November 2020 through January 2021.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Raw events</w:t>
            </w:r>
          </w:p>
        </w:tc>
        <w:tc>
          <w:tcPr>
            <w:tcW w:type="dxa" w:w="5040"/>
          </w:tcPr>
          <w:p>
            <w:r>
              <w:t>4,295,584</w:t>
            </w:r>
          </w:p>
        </w:tc>
      </w:tr>
      <w:tr>
        <w:tc>
          <w:tcPr>
            <w:tcW w:type="dxa" w:w="5040"/>
          </w:tcPr>
          <w:p>
            <w:r>
              <w:t>Unique anonymous users</w:t>
            </w:r>
          </w:p>
        </w:tc>
        <w:tc>
          <w:tcPr>
            <w:tcW w:type="dxa" w:w="5040"/>
          </w:tcPr>
          <w:p>
            <w:r>
              <w:t>270,154</w:t>
            </w:r>
          </w:p>
        </w:tc>
      </w:tr>
      <w:tr>
        <w:tc>
          <w:tcPr>
            <w:tcW w:type="dxa" w:w="5040"/>
          </w:tcPr>
          <w:p>
            <w:r>
              <w:t>Observed days</w:t>
            </w:r>
          </w:p>
        </w:tc>
        <w:tc>
          <w:tcPr>
            <w:tcW w:type="dxa" w:w="5040"/>
          </w:tcPr>
          <w:p>
            <w:r>
              <w:t>92</w:t>
            </w:r>
          </w:p>
        </w:tc>
      </w:tr>
      <w:tr>
        <w:tc>
          <w:tcPr>
            <w:tcW w:type="dxa" w:w="5040"/>
          </w:tcPr>
          <w:p>
            <w:r>
              <w:t>Raw purchase events</w:t>
            </w:r>
          </w:p>
        </w:tc>
        <w:tc>
          <w:tcPr>
            <w:tcW w:type="dxa" w:w="5040"/>
          </w:tcPr>
          <w:p>
            <w:r>
              <w:t>5,692</w:t>
            </w:r>
          </w:p>
        </w:tc>
      </w:tr>
      <w:tr>
        <w:tc>
          <w:tcPr>
            <w:tcW w:type="dxa" w:w="5040"/>
          </w:tcPr>
          <w:p>
            <w:r>
              <w:t>Valid cleaned transactions</w:t>
            </w:r>
          </w:p>
        </w:tc>
        <w:tc>
          <w:tcPr>
            <w:tcW w:type="dxa" w:w="5040"/>
          </w:tcPr>
          <w:p>
            <w:r>
              <w:t>4,466</w:t>
            </w:r>
          </w:p>
        </w:tc>
      </w:tr>
      <w:tr>
        <w:tc>
          <w:tcPr>
            <w:tcW w:type="dxa" w:w="5040"/>
          </w:tcPr>
          <w:p>
            <w:r>
              <w:t>Customers with valid transactions</w:t>
            </w:r>
          </w:p>
        </w:tc>
        <w:tc>
          <w:tcPr>
            <w:tcW w:type="dxa" w:w="5040"/>
          </w:tcPr>
          <w:p>
            <w:r>
              <w:t>3,713</w:t>
            </w:r>
          </w:p>
        </w:tc>
      </w:tr>
      <w:tr>
        <w:tc>
          <w:tcPr>
            <w:tcW w:type="dxa" w:w="5040"/>
          </w:tcPr>
          <w:p>
            <w:r>
              <w:t>Clean transaction revenue</w:t>
            </w:r>
          </w:p>
        </w:tc>
        <w:tc>
          <w:tcPr>
            <w:tcW w:type="dxa" w:w="5040"/>
          </w:tcPr>
          <w:p>
            <w:r>
              <w:t>$330,348</w:t>
            </w:r>
          </w:p>
        </w:tc>
      </w:tr>
    </w:tbl>
    <w:p>
      <w:pPr>
        <w:pStyle w:val="Heading1"/>
      </w:pPr>
      <w:r>
        <w:t>4. Data Cleaning &amp; Customer 360</w:t>
      </w:r>
    </w:p>
    <w:p>
      <w:r>
        <w:t>Purchase events were cleaned by excluding missing or `(not set)` transaction identifiers and aggregating valid transactions. Transaction metrics were combined with engagement metrics to create a customer-level Customer 360 table.</w:t>
      </w:r>
    </w:p>
    <w:p>
      <w:pPr>
        <w:pStyle w:val="ListBullet"/>
      </w:pPr>
      <w:r>
        <w:t>Average customer revenue: ~$88.97.</w:t>
      </w:r>
    </w:p>
    <w:p>
      <w:pPr>
        <w:pStyle w:val="ListBullet"/>
      </w:pPr>
      <w:r>
        <w:t>Average transactions per customer: ~1.20.</w:t>
      </w:r>
    </w:p>
    <w:p>
      <w:pPr>
        <w:pStyle w:val="ListBullet"/>
      </w:pPr>
      <w:r>
        <w:t>Average transaction value: ~$75.58.</w:t>
      </w:r>
    </w:p>
    <w:p>
      <w:pPr>
        <w:pStyle w:val="ListBullet"/>
      </w:pPr>
      <w:r>
        <w:t>Average product views per customer: ~23.03.</w:t>
      </w:r>
    </w:p>
    <w:p>
      <w:pPr>
        <w:pStyle w:val="ListBullet"/>
      </w:pPr>
      <w:r>
        <w:t>Average add-to-cart events per customer: ~6.52.</w:t>
      </w:r>
    </w:p>
    <w:p>
      <w:pPr>
        <w:pStyle w:val="Heading1"/>
      </w:pPr>
      <w:r>
        <w:t>5. RFM Segmentation</w:t>
      </w:r>
    </w:p>
    <w:p>
      <w:r>
        <w:t>Customers were segmented using Recency, Frequency and Monetary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Revenue</w:t>
            </w:r>
          </w:p>
        </w:tc>
      </w:tr>
      <w:tr>
        <w:tc>
          <w:tcPr>
            <w:tcW w:type="dxa" w:w="3360"/>
          </w:tcPr>
          <w:p>
            <w:r>
              <w:t>Hibernating / Lost</w:t>
            </w:r>
          </w:p>
        </w:tc>
        <w:tc>
          <w:tcPr>
            <w:tcW w:type="dxa" w:w="3360"/>
          </w:tcPr>
          <w:p>
            <w:r>
              <w:t>648</w:t>
            </w:r>
          </w:p>
        </w:tc>
        <w:tc>
          <w:tcPr>
            <w:tcW w:type="dxa" w:w="3360"/>
          </w:tcPr>
          <w:p>
            <w:r>
              <w:t>$53,777</w:t>
            </w:r>
          </w:p>
        </w:tc>
      </w:tr>
      <w:tr>
        <w:tc>
          <w:tcPr>
            <w:tcW w:type="dxa" w:w="3360"/>
          </w:tcPr>
          <w:p>
            <w:r>
              <w:t>Champions</w:t>
            </w:r>
          </w:p>
        </w:tc>
        <w:tc>
          <w:tcPr>
            <w:tcW w:type="dxa" w:w="3360"/>
          </w:tcPr>
          <w:p>
            <w:r>
              <w:t>300</w:t>
            </w:r>
          </w:p>
        </w:tc>
        <w:tc>
          <w:tcPr>
            <w:tcW w:type="dxa" w:w="3360"/>
          </w:tcPr>
          <w:p>
            <w:r>
              <w:t>$51,948</w:t>
            </w:r>
          </w:p>
        </w:tc>
      </w:tr>
      <w:tr>
        <w:tc>
          <w:tcPr>
            <w:tcW w:type="dxa" w:w="3360"/>
          </w:tcPr>
          <w:p>
            <w:r>
              <w:t>Loyal Customers</w:t>
            </w:r>
          </w:p>
        </w:tc>
        <w:tc>
          <w:tcPr>
            <w:tcW w:type="dxa" w:w="3360"/>
          </w:tcPr>
          <w:p>
            <w:r>
              <w:t>645</w:t>
            </w:r>
          </w:p>
        </w:tc>
        <w:tc>
          <w:tcPr>
            <w:tcW w:type="dxa" w:w="3360"/>
          </w:tcPr>
          <w:p>
            <w:r>
              <w:t>$48,899</w:t>
            </w:r>
          </w:p>
        </w:tc>
      </w:tr>
      <w:tr>
        <w:tc>
          <w:tcPr>
            <w:tcW w:type="dxa" w:w="3360"/>
          </w:tcPr>
          <w:p>
            <w:r>
              <w:t>High Value At Risk</w:t>
            </w:r>
          </w:p>
        </w:tc>
        <w:tc>
          <w:tcPr>
            <w:tcW w:type="dxa" w:w="3360"/>
          </w:tcPr>
          <w:p>
            <w:r>
              <w:t>264</w:t>
            </w:r>
          </w:p>
        </w:tc>
        <w:tc>
          <w:tcPr>
            <w:tcW w:type="dxa" w:w="3360"/>
          </w:tcPr>
          <w:p>
            <w:r>
              <w:t>$48,748</w:t>
            </w:r>
          </w:p>
        </w:tc>
      </w:tr>
      <w:tr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562</w:t>
            </w:r>
          </w:p>
        </w:tc>
        <w:tc>
          <w:tcPr>
            <w:tcW w:type="dxa" w:w="3360"/>
          </w:tcPr>
          <w:p>
            <w:r>
              <w:t>$41,354</w:t>
            </w:r>
          </w:p>
        </w:tc>
      </w:tr>
      <w:tr>
        <w:tc>
          <w:tcPr>
            <w:tcW w:type="dxa" w:w="3360"/>
          </w:tcPr>
          <w:p>
            <w:r>
              <w:t>Potential Loyalists</w:t>
            </w:r>
          </w:p>
        </w:tc>
        <w:tc>
          <w:tcPr>
            <w:tcW w:type="dxa" w:w="3360"/>
          </w:tcPr>
          <w:p>
            <w:r>
              <w:t>572</w:t>
            </w:r>
          </w:p>
        </w:tc>
        <w:tc>
          <w:tcPr>
            <w:tcW w:type="dxa" w:w="3360"/>
          </w:tcPr>
          <w:p>
            <w:r>
              <w:t>$40,041</w:t>
            </w:r>
          </w:p>
        </w:tc>
      </w:tr>
      <w:tr>
        <w:tc>
          <w:tcPr>
            <w:tcW w:type="dxa" w:w="3360"/>
          </w:tcPr>
          <w:p>
            <w:r>
              <w:t>At Risk</w:t>
            </w:r>
          </w:p>
        </w:tc>
        <w:tc>
          <w:tcPr>
            <w:tcW w:type="dxa" w:w="3360"/>
          </w:tcPr>
          <w:p>
            <w:r>
              <w:t>574</w:t>
            </w:r>
          </w:p>
        </w:tc>
        <w:tc>
          <w:tcPr>
            <w:tcW w:type="dxa" w:w="3360"/>
          </w:tcPr>
          <w:p>
            <w:r>
              <w:t>$35,140</w:t>
            </w:r>
          </w:p>
        </w:tc>
      </w:tr>
      <w:tr>
        <w:tc>
          <w:tcPr>
            <w:tcW w:type="dxa" w:w="3360"/>
          </w:tcPr>
          <w:p>
            <w:r>
              <w:t>New Customers</w:t>
            </w:r>
          </w:p>
        </w:tc>
        <w:tc>
          <w:tcPr>
            <w:tcW w:type="dxa" w:w="3360"/>
          </w:tcPr>
          <w:p>
            <w:r>
              <w:t>148</w:t>
            </w:r>
          </w:p>
        </w:tc>
        <w:tc>
          <w:tcPr>
            <w:tcW w:type="dxa" w:w="3360"/>
          </w:tcPr>
          <w:p>
            <w:r>
              <w:t>$10,441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>
              <w:t>3,713</w:t>
            </w:r>
          </w:p>
        </w:tc>
        <w:tc>
          <w:tcPr>
            <w:tcW w:type="dxa" w:w="3360"/>
          </w:tcPr>
          <w:p>
            <w:r>
              <w:t>$330,348</w:t>
            </w:r>
          </w:p>
        </w:tc>
      </w:tr>
    </w:tbl>
    <w:p>
      <w:pPr>
        <w:pStyle w:val="Heading1"/>
      </w:pPr>
      <w:r>
        <w:t>6. Funnel, Product &amp;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Funnel stage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Users</w:t>
            </w:r>
          </w:p>
        </w:tc>
      </w:tr>
      <w:tr>
        <w:tc>
          <w:tcPr>
            <w:tcW w:type="dxa" w:w="5040"/>
          </w:tcPr>
          <w:p>
            <w:r>
              <w:t>View Product</w:t>
            </w:r>
          </w:p>
        </w:tc>
        <w:tc>
          <w:tcPr>
            <w:tcW w:type="dxa" w:w="5040"/>
          </w:tcPr>
          <w:p>
            <w:r>
              <w:t>61,252</w:t>
            </w:r>
          </w:p>
        </w:tc>
      </w:tr>
      <w:tr>
        <w:tc>
          <w:tcPr>
            <w:tcW w:type="dxa" w:w="5040"/>
          </w:tcPr>
          <w:p>
            <w:r>
              <w:t>Add to Cart</w:t>
            </w:r>
          </w:p>
        </w:tc>
        <w:tc>
          <w:tcPr>
            <w:tcW w:type="dxa" w:w="5040"/>
          </w:tcPr>
          <w:p>
            <w:r>
              <w:t>11,114</w:t>
            </w:r>
          </w:p>
        </w:tc>
      </w:tr>
      <w:tr>
        <w:tc>
          <w:tcPr>
            <w:tcW w:type="dxa" w:w="5040"/>
          </w:tcPr>
          <w:p>
            <w:r>
              <w:t>Begin Checkout</w:t>
            </w:r>
          </w:p>
        </w:tc>
        <w:tc>
          <w:tcPr>
            <w:tcW w:type="dxa" w:w="5040"/>
          </w:tcPr>
          <w:p>
            <w:r>
              <w:t>4,167</w:t>
            </w:r>
          </w:p>
        </w:tc>
      </w:tr>
      <w:tr>
        <w:tc>
          <w:tcPr>
            <w:tcW w:type="dxa" w:w="5040"/>
          </w:tcPr>
          <w:p>
            <w:r>
              <w:t>Purchase</w:t>
            </w:r>
          </w:p>
        </w:tc>
        <w:tc>
          <w:tcPr>
            <w:tcW w:type="dxa" w:w="5040"/>
          </w:tcPr>
          <w:p>
            <w:r>
              <w:t>2,133</w:t>
            </w:r>
          </w:p>
        </w:tc>
      </w:tr>
    </w:tbl>
    <w:p>
      <w:r>
        <w:t>Observed transition rates: View-to-Cart 18.14%, Cart-to-Checkout 37.49%, Checkout-to-Purchase 51.19%. Product analysis covered 5,878 products, 2,748,246 product views, 667,426 add-to-cart events, 16,003 purchase events, 22,720 units sold and approximately $362,110 product-level revenue.</w:t>
      </w:r>
    </w:p>
    <w:p>
      <w:pPr>
        <w:pStyle w:val="Heading1"/>
      </w:pPr>
      <w:r>
        <w:t>7. Cohort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Month 0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Month 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Month 2</w:t>
            </w:r>
          </w:p>
        </w:tc>
      </w:tr>
      <w:tr>
        <w:tc>
          <w:tcPr>
            <w:tcW w:type="dxa" w:w="2520"/>
          </w:tcPr>
          <w:p>
            <w:r>
              <w:t>Nov 2020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6.92%</w:t>
            </w:r>
          </w:p>
        </w:tc>
        <w:tc>
          <w:tcPr>
            <w:tcW w:type="dxa" w:w="2520"/>
          </w:tcPr>
          <w:p>
            <w:r>
              <w:t>0.90%</w:t>
            </w:r>
          </w:p>
        </w:tc>
      </w:tr>
      <w:tr>
        <w:tc>
          <w:tcPr>
            <w:tcW w:type="dxa" w:w="2520"/>
          </w:tcPr>
          <w:p>
            <w:r>
              <w:t>Dec 2020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2.02%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  <w:tr>
        <w:tc>
          <w:tcPr>
            <w:tcW w:type="dxa" w:w="2520"/>
          </w:tcPr>
          <w:p>
            <w:r>
              <w:t>Jan 2021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</w:tbl>
    <w:p>
      <w:r>
        <w:t>Retention is constrained by the short source observation period.</w:t>
      </w:r>
    </w:p>
    <w:p>
      <w:pPr>
        <w:pStyle w:val="Heading1"/>
      </w:pPr>
      <w:r>
        <w:t>8. Customer Risk &amp; Revenue at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Risk segment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Total LTV / observed revenue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Revenue at risk</w:t>
            </w:r>
          </w:p>
        </w:tc>
      </w:tr>
      <w:tr>
        <w:tc>
          <w:tcPr>
            <w:tcW w:type="dxa" w:w="2016"/>
          </w:tcPr>
          <w:p>
            <w:r>
              <w:t>Other</w:t>
            </w:r>
          </w:p>
        </w:tc>
        <w:tc>
          <w:tcPr>
            <w:tcW w:type="dxa" w:w="2016"/>
          </w:tcPr>
          <w:p>
            <w:r>
              <w:t>1,310</w:t>
            </w:r>
          </w:p>
        </w:tc>
        <w:tc>
          <w:tcPr>
            <w:tcW w:type="dxa" w:w="2016"/>
          </w:tcPr>
          <w:p>
            <w:r>
              <w:t>$109,629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$0</w:t>
            </w:r>
          </w:p>
        </w:tc>
      </w:tr>
      <w:tr>
        <w:tc>
          <w:tcPr>
            <w:tcW w:type="dxa" w:w="2016"/>
          </w:tcPr>
          <w:p>
            <w:r>
              <w:t>High Value At Risk</w:t>
            </w:r>
          </w:p>
        </w:tc>
        <w:tc>
          <w:tcPr>
            <w:tcW w:type="dxa" w:w="2016"/>
          </w:tcPr>
          <w:p>
            <w:r>
              <w:t>600</w:t>
            </w:r>
          </w:p>
        </w:tc>
        <w:tc>
          <w:tcPr>
            <w:tcW w:type="dxa" w:w="2016"/>
          </w:tcPr>
          <w:p>
            <w:r>
              <w:t>$103,353</w:t>
            </w:r>
          </w:p>
        </w:tc>
        <w:tc>
          <w:tcPr>
            <w:tcW w:type="dxa" w:w="2016"/>
          </w:tcPr>
          <w:p>
            <w:r>
              <w:t>75%</w:t>
            </w:r>
          </w:p>
        </w:tc>
        <w:tc>
          <w:tcPr>
            <w:tcW w:type="dxa" w:w="2016"/>
          </w:tcPr>
          <w:p>
            <w:r>
              <w:t>$77,514.75</w:t>
            </w:r>
          </w:p>
        </w:tc>
      </w:tr>
      <w:tr>
        <w:tc>
          <w:tcPr>
            <w:tcW w:type="dxa" w:w="2016"/>
          </w:tcPr>
          <w:p>
            <w:r>
              <w:t>Champions</w:t>
            </w:r>
          </w:p>
        </w:tc>
        <w:tc>
          <w:tcPr>
            <w:tcW w:type="dxa" w:w="2016"/>
          </w:tcPr>
          <w:p>
            <w:r>
              <w:t>300</w:t>
            </w:r>
          </w:p>
        </w:tc>
        <w:tc>
          <w:tcPr>
            <w:tcW w:type="dxa" w:w="2016"/>
          </w:tcPr>
          <w:p>
            <w:r>
              <w:t>$51,948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$0</w:t>
            </w:r>
          </w:p>
        </w:tc>
      </w:tr>
      <w:tr>
        <w:tc>
          <w:tcPr>
            <w:tcW w:type="dxa" w:w="2016"/>
          </w:tcPr>
          <w:p>
            <w:r>
              <w:t>Loyal Customers</w:t>
            </w:r>
          </w:p>
        </w:tc>
        <w:tc>
          <w:tcPr>
            <w:tcW w:type="dxa" w:w="2016"/>
          </w:tcPr>
          <w:p>
            <w:r>
              <w:t>617</w:t>
            </w:r>
          </w:p>
        </w:tc>
        <w:tc>
          <w:tcPr>
            <w:tcW w:type="dxa" w:w="2016"/>
          </w:tcPr>
          <w:p>
            <w:r>
              <w:t>$31,106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$0</w:t>
            </w:r>
          </w:p>
        </w:tc>
      </w:tr>
      <w:tr>
        <w:tc>
          <w:tcPr>
            <w:tcW w:type="dxa" w:w="2016"/>
          </w:tcPr>
          <w:p>
            <w:r>
              <w:t>At Risk</w:t>
            </w:r>
          </w:p>
        </w:tc>
        <w:tc>
          <w:tcPr>
            <w:tcW w:type="dxa" w:w="2016"/>
          </w:tcPr>
          <w:p>
            <w:r>
              <w:t>467</w:t>
            </w:r>
          </w:p>
        </w:tc>
        <w:tc>
          <w:tcPr>
            <w:tcW w:type="dxa" w:w="2016"/>
          </w:tcPr>
          <w:p>
            <w:r>
              <w:t>$18,074</w:t>
            </w:r>
          </w:p>
        </w:tc>
        <w:tc>
          <w:tcPr>
            <w:tcW w:type="dxa" w:w="2016"/>
          </w:tcPr>
          <w:p>
            <w:r>
              <w:t>50%</w:t>
            </w:r>
          </w:p>
        </w:tc>
        <w:tc>
          <w:tcPr>
            <w:tcW w:type="dxa" w:w="2016"/>
          </w:tcPr>
          <w:p>
            <w:r>
              <w:t>$9,037.00</w:t>
            </w:r>
          </w:p>
        </w:tc>
      </w:tr>
      <w:tr>
        <w:tc>
          <w:tcPr>
            <w:tcW w:type="dxa" w:w="2016"/>
          </w:tcPr>
          <w:p>
            <w:r>
              <w:t>Hibernating / Lost</w:t>
            </w:r>
          </w:p>
        </w:tc>
        <w:tc>
          <w:tcPr>
            <w:tcW w:type="dxa" w:w="2016"/>
          </w:tcPr>
          <w:p>
            <w:r>
              <w:t>419</w:t>
            </w:r>
          </w:p>
        </w:tc>
        <w:tc>
          <w:tcPr>
            <w:tcW w:type="dxa" w:w="2016"/>
          </w:tcPr>
          <w:p>
            <w:r>
              <w:t>$16,238</w:t>
            </w:r>
          </w:p>
        </w:tc>
        <w:tc>
          <w:tcPr>
            <w:tcW w:type="dxa" w:w="2016"/>
          </w:tcPr>
          <w:p>
            <w:r>
              <w:t>90%</w:t>
            </w:r>
          </w:p>
        </w:tc>
        <w:tc>
          <w:tcPr>
            <w:tcW w:type="dxa" w:w="2016"/>
          </w:tcPr>
          <w:p>
            <w:r>
              <w:t>$14,614.20</w:t>
            </w:r>
          </w:p>
        </w:tc>
      </w:tr>
      <w:tr>
        <w:tc>
          <w:tcPr>
            <w:tcW w:type="dxa" w:w="2016"/>
          </w:tcPr>
          <w:p>
            <w:r>
              <w:t>Total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$101,165.95</w:t>
            </w:r>
          </w:p>
        </w:tc>
      </w:tr>
    </w:tbl>
    <w:p>
      <w:r>
        <w:t>Revenue at risk is a scenario estimate based on predefined risk factors, not directly observed financial loss. The final validated calculation uses a 90% factor for Hibernating / Lost.</w:t>
      </w:r>
    </w:p>
    <w:p>
      <w:pPr>
        <w:pStyle w:val="Heading1"/>
      </w:pPr>
      <w:r>
        <w:t>9. Power BI Dashboard</w:t>
      </w:r>
    </w:p>
    <w:p>
      <w:pPr>
        <w:pStyle w:val="ListNumber"/>
      </w:pPr>
      <w:r>
        <w:t>Page 1 — E-Commerce Customer 360 &amp; Revenue Risk</w:t>
      </w:r>
    </w:p>
    <w:p>
      <w:pPr>
        <w:pStyle w:val="ListNumber"/>
      </w:pPr>
      <w:r>
        <w:t>Page 2 — Customer Cohort Retention Analysis</w:t>
      </w:r>
    </w:p>
    <w:p>
      <w:pPr>
        <w:pStyle w:val="ListNumber"/>
      </w:pPr>
      <w:r>
        <w:t>Page 3 — Customer Risk &amp; Revenue at Risk</w:t>
      </w:r>
    </w:p>
    <w:p>
      <w:pPr>
        <w:pStyle w:val="ListNumber"/>
      </w:pPr>
      <w:r>
        <w:t>Page 4 — ML Customer Insights</w:t>
      </w:r>
    </w:p>
    <w:p>
      <w:pPr>
        <w:pStyle w:val="Heading1"/>
      </w:pPr>
      <w:r>
        <w:t>10. Churn Machine Learning</w:t>
      </w:r>
    </w:p>
    <w:p>
      <w:r>
        <w:t>Models evaluated: Logistic Regression, Random Forest and XGBoost. The churn target is 30-day inactivity and is highly imbalanced.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680"/>
          </w:tcPr>
          <w:p>
            <w:r>
              <w:rPr>
                <w:b/>
              </w:rPr>
              <w:t>F1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680"/>
          </w:tcPr>
          <w:p>
            <w:r>
              <w:t>Logistic Regression</w:t>
            </w:r>
          </w:p>
        </w:tc>
        <w:tc>
          <w:tcPr>
            <w:tcW w:type="dxa" w:w="1680"/>
          </w:tcPr>
          <w:p>
            <w:r>
              <w:t>0.6193</w:t>
            </w:r>
          </w:p>
        </w:tc>
        <w:tc>
          <w:tcPr>
            <w:tcW w:type="dxa" w:w="1680"/>
          </w:tcPr>
          <w:p>
            <w:r>
              <w:t>0.9202</w:t>
            </w:r>
          </w:p>
        </w:tc>
        <w:tc>
          <w:tcPr>
            <w:tcW w:type="dxa" w:w="1680"/>
          </w:tcPr>
          <w:p>
            <w:r>
              <w:t>0.6212</w:t>
            </w:r>
          </w:p>
        </w:tc>
        <w:tc>
          <w:tcPr>
            <w:tcW w:type="dxa" w:w="1680"/>
          </w:tcPr>
          <w:p>
            <w:r>
              <w:t>0.7417</w:t>
            </w:r>
          </w:p>
        </w:tc>
        <w:tc>
          <w:tcPr>
            <w:tcW w:type="dxa" w:w="1680"/>
          </w:tcPr>
          <w:p>
            <w:r>
              <w:t>0.6581</w:t>
            </w:r>
          </w:p>
        </w:tc>
      </w:tr>
      <w:tr>
        <w:tc>
          <w:tcPr>
            <w:tcW w:type="dxa" w:w="1680"/>
          </w:tcPr>
          <w:p>
            <w:r>
              <w:t>Random Forest</w:t>
            </w:r>
          </w:p>
        </w:tc>
        <w:tc>
          <w:tcPr>
            <w:tcW w:type="dxa" w:w="1680"/>
          </w:tcPr>
          <w:p>
            <w:r>
              <w:t>0.8037</w:t>
            </w:r>
          </w:p>
        </w:tc>
        <w:tc>
          <w:tcPr>
            <w:tcW w:type="dxa" w:w="1680"/>
          </w:tcPr>
          <w:p>
            <w:r>
              <w:t>0.8930</w:t>
            </w:r>
          </w:p>
        </w:tc>
        <w:tc>
          <w:tcPr>
            <w:tcW w:type="dxa" w:w="1680"/>
          </w:tcPr>
          <w:p>
            <w:r>
              <w:t>0.8827</w:t>
            </w:r>
          </w:p>
        </w:tc>
        <w:tc>
          <w:tcPr>
            <w:tcW w:type="dxa" w:w="1680"/>
          </w:tcPr>
          <w:p>
            <w:r>
              <w:t>0.8878</w:t>
            </w:r>
          </w:p>
        </w:tc>
        <w:tc>
          <w:tcPr>
            <w:tcW w:type="dxa" w:w="1680"/>
          </w:tcPr>
          <w:p>
            <w:r>
              <w:t>0.5740</w:t>
            </w:r>
          </w:p>
        </w:tc>
      </w:tr>
      <w:tr>
        <w:tc>
          <w:tcPr>
            <w:tcW w:type="dxa" w:w="1680"/>
          </w:tcPr>
          <w:p>
            <w:r>
              <w:t>XGBoost</w:t>
            </w:r>
          </w:p>
        </w:tc>
        <w:tc>
          <w:tcPr>
            <w:tcW w:type="dxa" w:w="1680"/>
          </w:tcPr>
          <w:p>
            <w:r>
              <w:t>0.7462</w:t>
            </w:r>
          </w:p>
        </w:tc>
        <w:tc>
          <w:tcPr>
            <w:tcW w:type="dxa" w:w="1680"/>
          </w:tcPr>
          <w:p>
            <w:r>
              <w:t>0.8936</w:t>
            </w:r>
          </w:p>
        </w:tc>
        <w:tc>
          <w:tcPr>
            <w:tcW w:type="dxa" w:w="1680"/>
          </w:tcPr>
          <w:p>
            <w:r>
              <w:t>0.8077</w:t>
            </w:r>
          </w:p>
        </w:tc>
        <w:tc>
          <w:tcPr>
            <w:tcW w:type="dxa" w:w="1680"/>
          </w:tcPr>
          <w:p>
            <w:r>
              <w:t>0.8485</w:t>
            </w:r>
          </w:p>
        </w:tc>
        <w:tc>
          <w:tcPr>
            <w:tcW w:type="dxa" w:w="1680"/>
          </w:tcPr>
          <w:p>
            <w:r>
              <w:t>0.5664</w:t>
            </w:r>
          </w:p>
        </w:tc>
      </w:tr>
    </w:tbl>
    <w:p>
      <w:r>
        <w:t>Random Forest was used for customer-level churn-risk outputs. Feature importance highlighted recency, engagement and revenue-related variables.</w:t>
      </w:r>
    </w:p>
    <w:p>
      <w:pPr>
        <w:pStyle w:val="Heading1"/>
      </w:pPr>
      <w:r>
        <w:t>11. Two-Stage Future Revenue / LTV Modeling</w:t>
      </w:r>
    </w:p>
    <w:p>
      <w:r>
        <w:t>A rolling snapshot dataset was created to improve the sparse original LTV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Training rows</w:t>
            </w:r>
          </w:p>
        </w:tc>
        <w:tc>
          <w:tcPr>
            <w:tcW w:type="dxa" w:w="5040"/>
          </w:tcPr>
          <w:p>
            <w:r>
              <w:t>36,507</w:t>
            </w:r>
          </w:p>
        </w:tc>
      </w:tr>
      <w:tr>
        <w:tc>
          <w:tcPr>
            <w:tcW w:type="dxa" w:w="5040"/>
          </w:tcPr>
          <w:p>
            <w:r>
              <w:t>Unique customers</w:t>
            </w:r>
          </w:p>
        </w:tc>
        <w:tc>
          <w:tcPr>
            <w:tcW w:type="dxa" w:w="5040"/>
          </w:tcPr>
          <w:p>
            <w:r>
              <w:t>2,767</w:t>
            </w:r>
          </w:p>
        </w:tc>
      </w:tr>
      <w:tr>
        <w:tc>
          <w:tcPr>
            <w:tcW w:type="dxa" w:w="5040"/>
          </w:tcPr>
          <w:p>
            <w:r>
              <w:t>Snapshot dates</w:t>
            </w:r>
          </w:p>
        </w:tc>
        <w:tc>
          <w:tcPr>
            <w:tcW w:type="dxa" w:w="5040"/>
          </w:tcPr>
          <w:p>
            <w:r>
              <w:t>17</w:t>
            </w:r>
          </w:p>
        </w:tc>
      </w:tr>
      <w:tr>
        <w:tc>
          <w:tcPr>
            <w:tcW w:type="dxa" w:w="5040"/>
          </w:tcPr>
          <w:p>
            <w:r>
              <w:t>Positive future-revenue rows</w:t>
            </w:r>
          </w:p>
        </w:tc>
        <w:tc>
          <w:tcPr>
            <w:tcW w:type="dxa" w:w="5040"/>
          </w:tcPr>
          <w:p>
            <w:r>
              <w:t>879</w:t>
            </w:r>
          </w:p>
        </w:tc>
      </w:tr>
      <w:tr>
        <w:tc>
          <w:tcPr>
            <w:tcW w:type="dxa" w:w="5040"/>
          </w:tcPr>
          <w:p>
            <w:r>
              <w:t>Zero future-revenue rows</w:t>
            </w:r>
          </w:p>
        </w:tc>
        <w:tc>
          <w:tcPr>
            <w:tcW w:type="dxa" w:w="5040"/>
          </w:tcPr>
          <w:p>
            <w:r>
              <w:t>35,628</w:t>
            </w:r>
          </w:p>
        </w:tc>
      </w:tr>
      <w:tr>
        <w:tc>
          <w:tcPr>
            <w:tcW w:type="dxa" w:w="5040"/>
          </w:tcPr>
          <w:p>
            <w:r>
              <w:t>Average historical revenue</w:t>
            </w:r>
          </w:p>
        </w:tc>
        <w:tc>
          <w:tcPr>
            <w:tcW w:type="dxa" w:w="5040"/>
          </w:tcPr>
          <w:p>
            <w:r>
              <w:t>$90.58</w:t>
            </w:r>
          </w:p>
        </w:tc>
      </w:tr>
      <w:tr>
        <w:tc>
          <w:tcPr>
            <w:tcW w:type="dxa" w:w="5040"/>
          </w:tcPr>
          <w:p>
            <w:r>
              <w:t>Average future 30-day revenue</w:t>
            </w:r>
          </w:p>
        </w:tc>
        <w:tc>
          <w:tcPr>
            <w:tcW w:type="dxa" w:w="5040"/>
          </w:tcPr>
          <w:p>
            <w:r>
              <w:t>$1.79</w:t>
            </w:r>
          </w:p>
        </w:tc>
      </w:tr>
    </w:tbl>
    <w:p>
      <w:r>
        <w:t>Stage 1 predicts whether future revenue will occur. Stage 2 predicts the revenue amount conditional on positive revenue. Expected revenue is purchase probability multiplied by predicted revenue if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60"/>
          </w:tcPr>
          <w:p>
            <w:r>
              <w:t>Stage 1 calibrated classifier</w:t>
            </w:r>
          </w:p>
        </w:tc>
        <w:tc>
          <w:tcPr>
            <w:tcW w:type="dxa" w:w="3360"/>
          </w:tcPr>
          <w:p>
            <w:r>
              <w:t>ROC-AUC</w:t>
            </w:r>
          </w:p>
        </w:tc>
        <w:tc>
          <w:tcPr>
            <w:tcW w:type="dxa" w:w="3360"/>
          </w:tcPr>
          <w:p>
            <w:r>
              <w:t>0.9553</w:t>
            </w:r>
          </w:p>
        </w:tc>
      </w:tr>
      <w:tr>
        <w:tc>
          <w:tcPr>
            <w:tcW w:type="dxa" w:w="3360"/>
          </w:tcPr>
          <w:p>
            <w:r>
              <w:t>Stage 2 positive-revenue regression</w:t>
            </w:r>
          </w:p>
        </w:tc>
        <w:tc>
          <w:tcPr>
            <w:tcW w:type="dxa" w:w="3360"/>
          </w:tcPr>
          <w:p>
            <w:r>
              <w:t>R²</w:t>
            </w:r>
          </w:p>
        </w:tc>
        <w:tc>
          <w:tcPr>
            <w:tcW w:type="dxa" w:w="3360"/>
          </w:tcPr>
          <w:p>
            <w:r>
              <w:t>0.7709</w:t>
            </w:r>
          </w:p>
        </w:tc>
      </w:tr>
      <w:tr>
        <w:tc>
          <w:tcPr>
            <w:tcW w:type="dxa" w:w="3360"/>
          </w:tcPr>
          <w:p>
            <w:r>
              <w:t>Complete calibrated two-stage model</w:t>
            </w:r>
          </w:p>
        </w:tc>
        <w:tc>
          <w:tcPr>
            <w:tcW w:type="dxa" w:w="3360"/>
          </w:tcPr>
          <w:p>
            <w:r>
              <w:t>R²</w:t>
            </w:r>
          </w:p>
        </w:tc>
        <w:tc>
          <w:tcPr>
            <w:tcW w:type="dxa" w:w="3360"/>
          </w:tcPr>
          <w:p>
            <w:r>
              <w:t>0.3777</w:t>
            </w:r>
          </w:p>
        </w:tc>
      </w:tr>
      <w:tr>
        <w:tc>
          <w:tcPr>
            <w:tcW w:type="dxa" w:w="3360"/>
          </w:tcPr>
          <w:p>
            <w:r>
              <w:t>Complete model</w:t>
            </w:r>
          </w:p>
        </w:tc>
        <w:tc>
          <w:tcPr>
            <w:tcW w:type="dxa" w:w="3360"/>
          </w:tcPr>
          <w:p>
            <w:r>
              <w:t>MAE</w:t>
            </w:r>
          </w:p>
        </w:tc>
        <w:tc>
          <w:tcPr>
            <w:tcW w:type="dxa" w:w="3360"/>
          </w:tcPr>
          <w:p>
            <w:r>
              <w:t>$2.13</w:t>
            </w:r>
          </w:p>
        </w:tc>
      </w:tr>
      <w:tr>
        <w:tc>
          <w:tcPr>
            <w:tcW w:type="dxa" w:w="3360"/>
          </w:tcPr>
          <w:p>
            <w:r>
              <w:t>Complete model</w:t>
            </w:r>
          </w:p>
        </w:tc>
        <w:tc>
          <w:tcPr>
            <w:tcW w:type="dxa" w:w="3360"/>
          </w:tcPr>
          <w:p>
            <w:r>
              <w:t>RMSE</w:t>
            </w:r>
          </w:p>
        </w:tc>
        <w:tc>
          <w:tcPr>
            <w:tcW w:type="dxa" w:w="3360"/>
          </w:tcPr>
          <w:p>
            <w:r>
              <w:t>$9.83</w:t>
            </w:r>
          </w:p>
        </w:tc>
      </w:tr>
      <w:tr>
        <w:tc>
          <w:tcPr>
            <w:tcW w:type="dxa" w:w="3360"/>
          </w:tcPr>
          <w:p>
            <w:r>
              <w:t>Actual future revenue</w:t>
            </w:r>
          </w:p>
        </w:tc>
        <w:tc>
          <w:tcPr>
            <w:tcW w:type="dxa" w:w="3360"/>
          </w:tcPr>
          <w:p>
            <w:r>
              <w:t>$</w:t>
            </w:r>
          </w:p>
        </w:tc>
        <w:tc>
          <w:tcPr>
            <w:tcW w:type="dxa" w:w="3360"/>
          </w:tcPr>
          <w:p>
            <w:r>
              <w:t>11,609</w:t>
            </w:r>
          </w:p>
        </w:tc>
      </w:tr>
      <w:tr>
        <w:tc>
          <w:tcPr>
            <w:tcW w:type="dxa" w:w="3360"/>
          </w:tcPr>
          <w:p>
            <w:r>
              <w:t>Predicted expected revenue</w:t>
            </w:r>
          </w:p>
        </w:tc>
        <w:tc>
          <w:tcPr>
            <w:tcW w:type="dxa" w:w="3360"/>
          </w:tcPr>
          <w:p>
            <w:r>
              <w:t>$</w:t>
            </w:r>
          </w:p>
        </w:tc>
        <w:tc>
          <w:tcPr>
            <w:tcW w:type="dxa" w:w="3360"/>
          </w:tcPr>
          <w:p>
            <w:r>
              <w:t>12,450.74</w:t>
            </w:r>
          </w:p>
        </w:tc>
      </w:tr>
      <w:tr>
        <w:tc>
          <w:tcPr>
            <w:tcW w:type="dxa" w:w="3360"/>
          </w:tcPr>
          <w:p>
            <w:r>
              <w:t>Prediction / actual</w:t>
            </w:r>
          </w:p>
        </w:tc>
        <w:tc>
          <w:tcPr>
            <w:tcW w:type="dxa" w:w="3360"/>
          </w:tcPr>
          <w:p>
            <w:r>
              <w:t>ratio</w:t>
            </w:r>
          </w:p>
        </w:tc>
        <w:tc>
          <w:tcPr>
            <w:tcW w:type="dxa" w:w="3360"/>
          </w:tcPr>
          <w:p>
            <w:r>
              <w:t>1.07×</w:t>
            </w:r>
          </w:p>
        </w:tc>
      </w:tr>
    </w:tbl>
    <w:p>
      <w:r>
        <w:t>The 0.7709 R² applies only to the positive-revenue regression stage. The complete model has R² = 0.3777 across all test snapshots. Probability calibration reduced aggregate overprediction substantially.</w:t>
      </w:r>
    </w:p>
    <w:p>
      <w:pPr>
        <w:pStyle w:val="Heading1"/>
      </w:pPr>
      <w:r>
        <w:t>12. K-Means Customer Clustering</w:t>
      </w:r>
    </w:p>
    <w:p>
      <w:r>
        <w:t>Nine standardized behavioral features were used: recency, frequency, historical revenue, average transaction value, total events, product views, add-to-cart events, checkout events and page views. K=2 had the highest observed silhouette score of 0.4455.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68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revenue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frequency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events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product views</w:t>
            </w:r>
          </w:p>
        </w:tc>
      </w:tr>
      <w:tr>
        <w:tc>
          <w:tcPr>
            <w:tcW w:type="dxa" w:w="1680"/>
          </w:tcPr>
          <w:p>
            <w:r>
              <w:t>Lower-Value / Lower-Engagement</w:t>
            </w:r>
          </w:p>
        </w:tc>
        <w:tc>
          <w:tcPr>
            <w:tcW w:type="dxa" w:w="1680"/>
          </w:tcPr>
          <w:p>
            <w:r>
              <w:t>2,333</w:t>
            </w:r>
          </w:p>
        </w:tc>
        <w:tc>
          <w:tcPr>
            <w:tcW w:type="dxa" w:w="1680"/>
          </w:tcPr>
          <w:p>
            <w:r>
              <w:t>$67.45</w:t>
            </w:r>
          </w:p>
        </w:tc>
        <w:tc>
          <w:tcPr>
            <w:tcW w:type="dxa" w:w="1680"/>
          </w:tcPr>
          <w:p>
            <w:r>
              <w:t>1.08</w:t>
            </w:r>
          </w:p>
        </w:tc>
        <w:tc>
          <w:tcPr>
            <w:tcW w:type="dxa" w:w="1680"/>
          </w:tcPr>
          <w:p>
            <w:r>
              <w:t>127.66</w:t>
            </w:r>
          </w:p>
        </w:tc>
        <w:tc>
          <w:tcPr>
            <w:tcW w:type="dxa" w:w="1680"/>
          </w:tcPr>
          <w:p>
            <w:r>
              <w:t>14.43</w:t>
            </w:r>
          </w:p>
        </w:tc>
      </w:tr>
      <w:tr>
        <w:tc>
          <w:tcPr>
            <w:tcW w:type="dxa" w:w="1680"/>
          </w:tcPr>
          <w:p>
            <w:r>
              <w:t>High-Value / Highly Engaged</w:t>
            </w:r>
          </w:p>
        </w:tc>
        <w:tc>
          <w:tcPr>
            <w:tcW w:type="dxa" w:w="1680"/>
          </w:tcPr>
          <w:p>
            <w:r>
              <w:t>608</w:t>
            </w:r>
          </w:p>
        </w:tc>
        <w:tc>
          <w:tcPr>
            <w:tcW w:type="dxa" w:w="1680"/>
          </w:tcPr>
          <w:p>
            <w:r>
              <w:t>$190.18</w:t>
            </w:r>
          </w:p>
        </w:tc>
        <w:tc>
          <w:tcPr>
            <w:tcW w:type="dxa" w:w="1680"/>
          </w:tcPr>
          <w:p>
            <w:r>
              <w:t>1.74</w:t>
            </w:r>
          </w:p>
        </w:tc>
        <w:tc>
          <w:tcPr>
            <w:tcW w:type="dxa" w:w="1680"/>
          </w:tcPr>
          <w:p>
            <w:r>
              <w:t>373.61</w:t>
            </w:r>
          </w:p>
        </w:tc>
        <w:tc>
          <w:tcPr>
            <w:tcW w:type="dxa" w:w="1680"/>
          </w:tcPr>
          <w:p>
            <w:r>
              <w:t>55.67</w:t>
            </w:r>
          </w:p>
        </w:tc>
      </w:tr>
    </w:tbl>
    <w:p>
      <w:pPr>
        <w:pStyle w:val="Heading1"/>
      </w:pPr>
      <w:r>
        <w:t>13. Key Business Insights</w:t>
      </w:r>
    </w:p>
    <w:p>
      <w:pPr>
        <w:pStyle w:val="ListBullet"/>
      </w:pPr>
      <w:r>
        <w:t>3,713 customers generated $330,348 of clean transaction revenue.</w:t>
      </w:r>
    </w:p>
    <w:p>
      <w:pPr>
        <w:pStyle w:val="ListBullet"/>
      </w:pPr>
      <w:r>
        <w:t>Estimated revenue at risk is $101,165.95 under the defined scenario assumptions.</w:t>
      </w:r>
    </w:p>
    <w:p>
      <w:pPr>
        <w:pStyle w:val="ListBullet"/>
      </w:pPr>
      <w:r>
        <w:t>600 customers were classified as High Value At Risk.</w:t>
      </w:r>
    </w:p>
    <w:p>
      <w:pPr>
        <w:pStyle w:val="ListBullet"/>
      </w:pPr>
      <w:r>
        <w:t>Champions represented 300 customers and $51,948 of observed revenue.</w:t>
      </w:r>
    </w:p>
    <w:p>
      <w:pPr>
        <w:pStyle w:val="ListBullet"/>
      </w:pPr>
      <w:r>
        <w:t>The November 2020 cohort retained 6.92% in Month 1 and 0.90% in Month 2 within the available observation period.</w:t>
      </w:r>
    </w:p>
    <w:p>
      <w:pPr>
        <w:pStyle w:val="ListBullet"/>
      </w:pPr>
      <w:r>
        <w:t>The high-value/highly engaged cluster contains 608 customers with materially higher average revenue and engagement.</w:t>
      </w:r>
    </w:p>
    <w:p>
      <w:pPr>
        <w:pStyle w:val="ListBullet"/>
      </w:pPr>
      <w:r>
        <w:t>The calibrated two-stage model predicted $12,450.74 versus $11,609 actual future revenue in the test period.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GA4 sample is obfuscated and uses anonymous user_pseudo_id; it is not verified real-world customer identity.</w:t>
      </w:r>
    </w:p>
    <w:p>
      <w:pPr>
        <w:pStyle w:val="ListBullet"/>
      </w:pPr>
      <w:r>
        <w:t>The source period is only about 92 days, limiting long-term retention and true lifetime-value measurement.</w:t>
      </w:r>
    </w:p>
    <w:p>
      <w:pPr>
        <w:pStyle w:val="ListBullet"/>
      </w:pPr>
      <w:r>
        <w:t>Observed/historical LTV should not be interpreted as guaranteed future customer lifetime value.</w:t>
      </w:r>
    </w:p>
    <w:p>
      <w:pPr>
        <w:pStyle w:val="ListBullet"/>
      </w:pPr>
      <w:r>
        <w:t>Revenue-at-risk is a scenario estimate based on manually defined risk factors.</w:t>
      </w:r>
    </w:p>
    <w:p>
      <w:pPr>
        <w:pStyle w:val="ListBullet"/>
      </w:pPr>
      <w:r>
        <w:t>Churn is operationally defined using inactivity within the available observation window.</w:t>
      </w:r>
    </w:p>
    <w:p>
      <w:pPr>
        <w:pStyle w:val="ListBullet"/>
      </w:pPr>
      <w:r>
        <w:t>Rolling LTV snapshots overlap in time; temporal validation is therefore important.</w:t>
      </w:r>
    </w:p>
    <w:p>
      <w:pPr>
        <w:pStyle w:val="ListBullet"/>
      </w:pPr>
      <w:r>
        <w:t>ML metrics belong to different tasks and should not be compared as if they measured the same thing.</w:t>
      </w:r>
    </w:p>
    <w:p>
      <w:pPr>
        <w:pStyle w:val="Heading1"/>
      </w:pPr>
      <w:r>
        <w:t>15. Future Improvements</w:t>
      </w:r>
    </w:p>
    <w:p>
      <w:pPr>
        <w:pStyle w:val="ListBullet"/>
      </w:pPr>
      <w:r>
        <w:t>Use a longer production dataset for long-term LTV and retention.</w:t>
      </w:r>
    </w:p>
    <w:p>
      <w:pPr>
        <w:pStyle w:val="ListBullet"/>
      </w:pPr>
      <w:r>
        <w:t>Use dedicated probability calibration validation and temporal cross-validation.</w:t>
      </w:r>
    </w:p>
    <w:p>
      <w:pPr>
        <w:pStyle w:val="ListBullet"/>
      </w:pPr>
      <w:r>
        <w:t>Add acquisition source, geography, device, campaign and product-category features where available.</w:t>
      </w:r>
    </w:p>
    <w:p>
      <w:pPr>
        <w:pStyle w:val="ListBullet"/>
      </w:pPr>
      <w:r>
        <w:t>Automate BigQuery-to-Power BI refreshes.</w:t>
      </w:r>
    </w:p>
    <w:p>
      <w:pPr>
        <w:pStyle w:val="ListBullet"/>
      </w:pPr>
      <w:r>
        <w:t>Track retention interventions and measure their observed business impact.</w:t>
      </w:r>
    </w:p>
    <w:p>
      <w:pPr>
        <w:pStyle w:val="Heading1"/>
      </w:pPr>
      <w:r>
        <w:t>16. Resume-Ready Project Description</w:t>
      </w:r>
    </w:p>
    <w:p>
      <w:r>
        <w:t>Built an end-to-end E-Commerce Customer 360 analytics solution using BigQuery SQL, Python and Power BI, integrating customer behavior, RFM segmentation, funnel, cohort retention and revenue-at-risk analysis. Developed machine-learning workflows for churn prediction, calibrated two-stage future-revenue prediction and K-Means customer clustering, and delivered interactive dashboards for customer risk and revenue insights.</w:t>
      </w:r>
    </w:p>
    <w:p>
      <w:pPr>
        <w:pStyle w:val="Heading1"/>
      </w:pPr>
      <w:r>
        <w:t>17. Deliverables</w:t>
      </w:r>
    </w:p>
    <w:p>
      <w:pPr>
        <w:pStyle w:val="ListBullet"/>
      </w:pPr>
      <w:r>
        <w:t>Power BI report: E-Commerce Customer 360, RFM &amp; LTV Analytics.</w:t>
      </w:r>
    </w:p>
    <w:p>
      <w:pPr>
        <w:pStyle w:val="ListBullet"/>
      </w:pPr>
      <w:r>
        <w:t>BigQuery analytical tables and SQL workflow.</w:t>
      </w:r>
    </w:p>
    <w:p>
      <w:pPr>
        <w:pStyle w:val="ListBullet"/>
      </w:pPr>
      <w:r>
        <w:t>Kaggle notebook containing churn, LTV and clustering workflows.</w:t>
      </w:r>
    </w:p>
    <w:p>
      <w:pPr>
        <w:pStyle w:val="ListBullet"/>
      </w:pPr>
      <w:r>
        <w:t>ML outputs: churn_predictions.csv, final_ltv_predictions.csv, final_customer_clusters.csv.</w:t>
      </w:r>
    </w:p>
    <w:p>
      <w:pPr>
        <w:pStyle w:val="ListBullet"/>
      </w:pPr>
      <w:r>
        <w:t>This final project documentation.</w:t>
      </w:r>
    </w:p>
    <w:p/>
    <w:p>
      <w:pPr>
        <w:jc w:val="center"/>
      </w:pPr>
      <w:r>
        <w:rPr>
          <w:b/>
        </w:rPr>
        <w:t>End of Project Documentation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