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Financial Performance &amp; FP&amp;A Predictive Analytics</w:t>
      </w:r>
    </w:p>
    <w:p>
      <w:pPr>
        <w:jc w:val="center"/>
      </w:pPr>
      <w:r>
        <w:rPr>
          <w:i/>
          <w:sz w:val="22"/>
        </w:rPr>
        <w:t>End-to-End Financial Analytics, Forecasting &amp; Anomaly Detection Project</w:t>
      </w:r>
    </w:p>
    <w:p/>
    <w:p>
      <w:pPr>
        <w:pStyle w:val="Heading1"/>
      </w:pPr>
      <w:r>
        <w:t>1. Executive Summary</w:t>
      </w:r>
    </w:p>
    <w:p>
      <w:r>
        <w:t>This project develops an end-to-end FP&amp;A analytics solution using SAP-style financial transaction data. The analysis combines financial statement construction, budget and forecast variance analysis, profitability KPIs, machine-learning revenue forecasting, and Isolation Forest-based anomaly detection. The final results are presented through a four-page Power BI dashboard designed for finance and business stakeholders.</w:t>
      </w:r>
    </w:p>
    <w:p>
      <w:pPr>
        <w:pStyle w:val="Heading1"/>
      </w:pPr>
      <w:r>
        <w:t>2. Business Objective</w:t>
      </w:r>
    </w:p>
    <w:p>
      <w:r>
        <w:t>The project addresses the following FP&amp;A and finance analytics questions:</w:t>
      </w:r>
    </w:p>
    <w:p>
      <w:pPr>
        <w:pStyle w:val="ListBullet"/>
      </w:pPr>
      <w:r>
        <w:t>How is actual revenue performing against budget?</w:t>
      </w:r>
    </w:p>
    <w:p>
      <w:pPr>
        <w:pStyle w:val="ListBullet"/>
      </w:pPr>
      <w:r>
        <w:t>What financial components are driving budget variances?</w:t>
      </w:r>
    </w:p>
    <w:p>
      <w:pPr>
        <w:pStyle w:val="ListBullet"/>
      </w:pPr>
      <w:r>
        <w:t>How are Gross Profit and Operating Profit changing over time?</w:t>
      </w:r>
    </w:p>
    <w:p>
      <w:pPr>
        <w:pStyle w:val="ListBullet"/>
      </w:pPr>
      <w:r>
        <w:t>How accurate is the existing rolling revenue forecast?</w:t>
      </w:r>
    </w:p>
    <w:p>
      <w:pPr>
        <w:pStyle w:val="ListBullet"/>
      </w:pPr>
      <w:r>
        <w:t>Can machine learning provide a useful revenue forecasting benchmark?</w:t>
      </w:r>
    </w:p>
    <w:p>
      <w:pPr>
        <w:pStyle w:val="ListBullet"/>
      </w:pPr>
      <w:r>
        <w:t>Which transactions appear unusual and should receive further financial review?</w:t>
      </w:r>
    </w:p>
    <w:p>
      <w:pPr>
        <w:pStyle w:val="Heading1"/>
      </w:pPr>
      <w:r>
        <w:t>3. Dataset &amp; Data Structure</w:t>
      </w:r>
    </w:p>
    <w:p>
      <w:r>
        <w:t>The project uses a realistic SAP-style financial dataset containing accounting transactions, G/L account mappings, company codes, cost centers, profit centers, plan versions, and revenue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Dataset Area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Accounting transactions</w:t>
            </w:r>
          </w:p>
        </w:tc>
        <w:tc>
          <w:tcPr>
            <w:tcW w:type="dxa" w:w="5040"/>
          </w:tcPr>
          <w:p>
            <w:r>
              <w:t>159,934 financial transaction lines</w:t>
            </w:r>
          </w:p>
        </w:tc>
      </w:tr>
      <w:tr>
        <w:tc>
          <w:tcPr>
            <w:tcW w:type="dxa" w:w="5040"/>
          </w:tcPr>
          <w:p>
            <w:r>
              <w:t>Documents</w:t>
            </w:r>
          </w:p>
        </w:tc>
        <w:tc>
          <w:tcPr>
            <w:tcW w:type="dxa" w:w="5040"/>
          </w:tcPr>
          <w:p>
            <w:r>
              <w:t>79,967 accounting documents</w:t>
            </w:r>
          </w:p>
        </w:tc>
      </w:tr>
      <w:tr>
        <w:tc>
          <w:tcPr>
            <w:tcW w:type="dxa" w:w="5040"/>
          </w:tcPr>
          <w:p>
            <w:r>
              <w:t>Companies</w:t>
            </w:r>
          </w:p>
        </w:tc>
        <w:tc>
          <w:tcPr>
            <w:tcW w:type="dxa" w:w="5040"/>
          </w:tcPr>
          <w:p>
            <w:r>
              <w:t>Company codes 1000, 2000 and 3000</w:t>
            </w:r>
          </w:p>
        </w:tc>
      </w:tr>
      <w:tr>
        <w:tc>
          <w:tcPr>
            <w:tcW w:type="dxa" w:w="5040"/>
          </w:tcPr>
          <w:p>
            <w:r>
              <w:t>Fiscal period</w:t>
            </w:r>
          </w:p>
        </w:tc>
        <w:tc>
          <w:tcPr>
            <w:tcW w:type="dxa" w:w="5040"/>
          </w:tcPr>
          <w:p>
            <w:r>
              <w:t>2022–2025</w:t>
            </w:r>
          </w:p>
        </w:tc>
      </w:tr>
      <w:tr>
        <w:tc>
          <w:tcPr>
            <w:tcW w:type="dxa" w:w="5040"/>
          </w:tcPr>
          <w:p>
            <w:r>
              <w:t>Currencies</w:t>
            </w:r>
          </w:p>
        </w:tc>
        <w:tc>
          <w:tcPr>
            <w:tcW w:type="dxa" w:w="5040"/>
          </w:tcPr>
          <w:p>
            <w:r>
              <w:t>EUR, USD and INR</w:t>
            </w:r>
          </w:p>
        </w:tc>
      </w:tr>
      <w:tr>
        <w:tc>
          <w:tcPr>
            <w:tcW w:type="dxa" w:w="5040"/>
          </w:tcPr>
          <w:p>
            <w:r>
              <w:t>Financial categories</w:t>
            </w:r>
          </w:p>
        </w:tc>
        <w:tc>
          <w:tcPr>
            <w:tcW w:type="dxa" w:w="5040"/>
          </w:tcPr>
          <w:p>
            <w:r>
              <w:t>Balance Sheet, Revenue, COGS, Personnel, OPEX and Depreciation</w:t>
            </w:r>
          </w:p>
        </w:tc>
      </w:tr>
      <w:tr>
        <w:tc>
          <w:tcPr>
            <w:tcW w:type="dxa" w:w="5040"/>
          </w:tcPr>
          <w:p>
            <w:r>
              <w:t>Planning data</w:t>
            </w:r>
          </w:p>
        </w:tc>
        <w:tc>
          <w:tcPr>
            <w:tcW w:type="dxa" w:w="5040"/>
          </w:tcPr>
          <w:p>
            <w:r>
              <w:t>Budget and Rolling Forecast versions</w:t>
            </w:r>
          </w:p>
        </w:tc>
      </w:tr>
    </w:tbl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Technology</w:t>
            </w:r>
          </w:p>
        </w:tc>
      </w:tr>
      <w:tr>
        <w:tc>
          <w:tcPr>
            <w:tcW w:type="dxa" w:w="5040"/>
          </w:tcPr>
          <w:p>
            <w:r>
              <w:t>Data processing</w:t>
            </w:r>
          </w:p>
        </w:tc>
        <w:tc>
          <w:tcPr>
            <w:tcW w:type="dxa" w:w="5040"/>
          </w:tcPr>
          <w:p>
            <w:r>
              <w:t>Python, Pandas</w:t>
            </w:r>
          </w:p>
        </w:tc>
      </w:tr>
      <w:tr>
        <w:tc>
          <w:tcPr>
            <w:tcW w:type="dxa" w:w="5040"/>
          </w:tcPr>
          <w:p>
            <w:r>
              <w:t>Statistical analysis</w:t>
            </w:r>
          </w:p>
        </w:tc>
        <w:tc>
          <w:tcPr>
            <w:tcW w:type="dxa" w:w="5040"/>
          </w:tcPr>
          <w:p>
            <w:r>
              <w:t>Python</w:t>
            </w:r>
          </w:p>
        </w:tc>
      </w:tr>
      <w:tr>
        <w:tc>
          <w:tcPr>
            <w:tcW w:type="dxa" w:w="5040"/>
          </w:tcPr>
          <w:p>
            <w:r>
              <w:t>Database analysis</w:t>
            </w:r>
          </w:p>
        </w:tc>
        <w:tc>
          <w:tcPr>
            <w:tcW w:type="dxa" w:w="5040"/>
          </w:tcPr>
          <w:p>
            <w:r>
              <w:t>MySQL / SQL</w:t>
            </w:r>
          </w:p>
        </w:tc>
      </w:tr>
      <w:tr>
        <w:tc>
          <w:tcPr>
            <w:tcW w:type="dxa" w:w="5040"/>
          </w:tcPr>
          <w:p>
            <w:r>
              <w:t>Machine learning</w:t>
            </w:r>
          </w:p>
        </w:tc>
        <w:tc>
          <w:tcPr>
            <w:tcW w:type="dxa" w:w="5040"/>
          </w:tcPr>
          <w:p>
            <w:r>
              <w:t>Scikit-learn</w:t>
            </w:r>
          </w:p>
        </w:tc>
      </w:tr>
      <w:tr>
        <w:tc>
          <w:tcPr>
            <w:tcW w:type="dxa" w:w="5040"/>
          </w:tcPr>
          <w:p>
            <w:r>
              <w:t>Revenue forecasting</w:t>
            </w:r>
          </w:p>
        </w:tc>
        <w:tc>
          <w:tcPr>
            <w:tcW w:type="dxa" w:w="5040"/>
          </w:tcPr>
          <w:p>
            <w:r>
              <w:t>Random Forest Regressor</w:t>
            </w:r>
          </w:p>
        </w:tc>
      </w:tr>
      <w:tr>
        <w:tc>
          <w:tcPr>
            <w:tcW w:type="dxa" w:w="5040"/>
          </w:tcPr>
          <w:p>
            <w:r>
              <w:t>Anomaly detection</w:t>
            </w:r>
          </w:p>
        </w:tc>
        <w:tc>
          <w:tcPr>
            <w:tcW w:type="dxa" w:w="5040"/>
          </w:tcPr>
          <w:p>
            <w:r>
              <w:t>Isolation Forest</w:t>
            </w:r>
          </w:p>
        </w:tc>
      </w:tr>
      <w:tr>
        <w:tc>
          <w:tcPr>
            <w:tcW w:type="dxa" w:w="5040"/>
          </w:tcPr>
          <w:p>
            <w:r>
              <w:t>Business intelligence</w:t>
            </w:r>
          </w:p>
        </w:tc>
        <w:tc>
          <w:tcPr>
            <w:tcW w:type="dxa" w:w="5040"/>
          </w:tcPr>
          <w:p>
            <w:r>
              <w:t>Microsoft Power BI</w:t>
            </w:r>
          </w:p>
        </w:tc>
      </w:tr>
      <w:tr>
        <w:tc>
          <w:tcPr>
            <w:tcW w:type="dxa" w:w="5040"/>
          </w:tcPr>
          <w:p>
            <w:r>
              <w:t>Data visualization</w:t>
            </w:r>
          </w:p>
        </w:tc>
        <w:tc>
          <w:tcPr>
            <w:tcW w:type="dxa" w:w="5040"/>
          </w:tcPr>
          <w:p>
            <w:r>
              <w:t>Power BI</w:t>
            </w:r>
          </w:p>
        </w:tc>
      </w:tr>
    </w:tbl>
    <w:p>
      <w:pPr>
        <w:pStyle w:val="Heading1"/>
      </w:pPr>
      <w:r>
        <w:t>5. Analytical Methodology</w:t>
      </w:r>
    </w:p>
    <w:p>
      <w:pPr>
        <w:pStyle w:val="Heading2"/>
      </w:pPr>
      <w:r>
        <w:t>5.1 Data Cleaning &amp; Quality Validation</w:t>
      </w:r>
    </w:p>
    <w:p>
      <w:pPr>
        <w:pStyle w:val="ListBullet"/>
      </w:pPr>
      <w:r>
        <w:t>Renamed SAP-style fields into business-friendly column names.</w:t>
      </w:r>
    </w:p>
    <w:p>
      <w:pPr>
        <w:pStyle w:val="ListBullet"/>
      </w:pPr>
      <w:r>
        <w:t>Reviewed missing values and identified that missing cost centers were structurally associated with Balance Sheet transactions, while the analyzed P&amp;L categories had complete cost-center coverage.</w:t>
      </w:r>
    </w:p>
    <w:p>
      <w:pPr>
        <w:pStyle w:val="ListBullet"/>
      </w:pPr>
      <w:r>
        <w:t>Checked exact duplicate rows; no exact duplicate rows were found.</w:t>
      </w:r>
    </w:p>
    <w:p>
      <w:pPr>
        <w:pStyle w:val="ListBullet"/>
      </w:pPr>
      <w:r>
        <w:t>Validated debit/credit indicators and created signed analytical amounts with S treated as debit/positive and H as credit/negative.</w:t>
      </w:r>
    </w:p>
    <w:p>
      <w:pPr>
        <w:pStyle w:val="ListBullet"/>
      </w:pPr>
      <w:r>
        <w:t>Reconciled debit and credit amounts at document level.</w:t>
      </w:r>
    </w:p>
    <w:p>
      <w:pPr>
        <w:pStyle w:val="Heading2"/>
      </w:pPr>
      <w:r>
        <w:t>5.2 Financial Classification &amp; P&amp;L</w:t>
      </w:r>
    </w:p>
    <w:p>
      <w:r>
        <w:t>G/L accounts were mapped into Revenue, COGS, Personnel, OPEX, Depreciation and Balance Sheet categories. Signed amounts were used to construct monthly P&amp;L metrics.</w:t>
      </w:r>
    </w:p>
    <w:p>
      <w:pPr>
        <w:pStyle w:val="ListBullet"/>
      </w:pPr>
      <w:r>
        <w:t>Gross Profit = Revenue + COGS</w:t>
      </w:r>
    </w:p>
    <w:p>
      <w:pPr>
        <w:pStyle w:val="ListBullet"/>
      </w:pPr>
      <w:r>
        <w:t>Operating Profit = Gross Profit + Personnel + OPEX + Depreciation</w:t>
      </w:r>
    </w:p>
    <w:p>
      <w:pPr>
        <w:pStyle w:val="ListBullet"/>
      </w:pPr>
      <w:r>
        <w:t>Gross Margin = Gross Profit / Revenue</w:t>
      </w:r>
    </w:p>
    <w:p>
      <w:pPr>
        <w:pStyle w:val="ListBullet"/>
      </w:pPr>
      <w:r>
        <w:t>Operating Margin = Operating Profit / Revenue</w:t>
      </w:r>
    </w:p>
    <w:p>
      <w:pPr>
        <w:pStyle w:val="Heading2"/>
      </w:pPr>
      <w:r>
        <w:t>5.3 Budget &amp; Variance Analysis</w:t>
      </w:r>
    </w:p>
    <w:p>
      <w:r>
        <w:t>Actual results were compared with Budget and Rolling Forecast values at monthly and financial-component levels.</w:t>
      </w:r>
    </w:p>
    <w:p>
      <w:pPr>
        <w:pStyle w:val="ListBullet"/>
      </w:pPr>
      <w:r>
        <w:t>Variance = Actual − Budget</w:t>
      </w:r>
    </w:p>
    <w:p>
      <w:pPr>
        <w:pStyle w:val="ListBullet"/>
      </w:pPr>
      <w:r>
        <w:t>Variance % = (Actual − Budget) / Budget × 100</w:t>
      </w:r>
    </w:p>
    <w:p>
      <w:pPr>
        <w:pStyle w:val="ListBullet"/>
      </w:pPr>
      <w:r>
        <w:t>Revenue, COGS, Personnel, OPEX and Depreciation variances were analyzed.</w:t>
      </w:r>
    </w:p>
    <w:p>
      <w:pPr>
        <w:pStyle w:val="ListBullet"/>
      </w:pPr>
      <w:r>
        <w:t>Operating Profit budget variance was included as an executive performance indicator.</w:t>
      </w:r>
    </w:p>
    <w:p>
      <w:pPr>
        <w:pStyle w:val="Heading2"/>
      </w:pPr>
      <w:r>
        <w:t>5.4 Revenue Forecasting</w:t>
      </w:r>
    </w:p>
    <w:p>
      <w:r>
        <w:t>Revenue forecasting was performed for Company 1000 (EUR). Monthly lag features were created using lag-1, lag-2, lag-3 and lag-12 revenue values. A chronological train/test split was used, with 2025 as the 12-month test period.</w:t>
      </w:r>
    </w:p>
    <w:p>
      <w:pPr>
        <w:pStyle w:val="ListBullet"/>
      </w:pPr>
      <w:r>
        <w:t>Model: Random Forest Regressor</w:t>
      </w:r>
    </w:p>
    <w:p>
      <w:pPr>
        <w:pStyle w:val="ListBullet"/>
      </w:pPr>
      <w:r>
        <w:t>Training period: 2023–2024 after lag-feature preparation</w:t>
      </w:r>
    </w:p>
    <w:p>
      <w:pPr>
        <w:pStyle w:val="ListBullet"/>
      </w:pPr>
      <w:r>
        <w:t>Testing period: 2025</w:t>
      </w:r>
    </w:p>
    <w:p>
      <w:pPr>
        <w:pStyle w:val="ListBullet"/>
      </w:pPr>
      <w:r>
        <w:t>Evaluation metrics: MAE, RMSE and MAPE</w:t>
      </w:r>
    </w:p>
    <w:p>
      <w:pPr>
        <w:pStyle w:val="ListBullet"/>
      </w:pPr>
      <w:r>
        <w:t>The lag-12 feature had the highest model feature importance, indicating a strong same-month-prior-year signal in the model.</w:t>
      </w:r>
    </w:p>
    <w:p>
      <w:pPr>
        <w:pStyle w:val="Heading2"/>
      </w:pPr>
      <w:r>
        <w:t>5.5 Anomaly Detection</w:t>
      </w:r>
    </w:p>
    <w:p>
      <w:r>
        <w:t>Isolation Forest was used to identify potential unusual accounting transactions. The model was first tested using transaction amount and then extended with financial category and debit/credit context.</w:t>
      </w:r>
    </w:p>
    <w:p>
      <w:pPr>
        <w:pStyle w:val="ListBullet"/>
      </w:pPr>
      <w:r>
        <w:t>Model: Isolation Forest</w:t>
      </w:r>
    </w:p>
    <w:p>
      <w:pPr>
        <w:pStyle w:val="ListBullet"/>
      </w:pPr>
      <w:r>
        <w:t>Contamination parameter: 1%</w:t>
      </w:r>
    </w:p>
    <w:p>
      <w:pPr>
        <w:pStyle w:val="ListBullet"/>
      </w:pPr>
      <w:r>
        <w:t>Context-aware potential anomalies identified: 1,578 transactions</w:t>
      </w:r>
    </w:p>
    <w:p>
      <w:pPr>
        <w:pStyle w:val="ListBullet"/>
      </w:pPr>
      <w:r>
        <w:t>Overall potential anomaly rate: 0.99%</w:t>
      </w:r>
    </w:p>
    <w:p>
      <w:pPr>
        <w:pStyle w:val="ListBullet"/>
      </w:pPr>
      <w:r>
        <w:t>The anomaly results are intended for investigation and review, not as proof of fraud, error or misconduct.</w:t>
      </w:r>
    </w:p>
    <w:p>
      <w:pPr>
        <w:pStyle w:val="Heading1"/>
      </w:pPr>
      <w:r>
        <w:t>6. Key Project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Accounting transactions</w:t>
            </w:r>
          </w:p>
        </w:tc>
        <w:tc>
          <w:tcPr>
            <w:tcW w:type="dxa" w:w="5040"/>
          </w:tcPr>
          <w:p>
            <w:r>
              <w:t>159,934</w:t>
            </w:r>
          </w:p>
        </w:tc>
      </w:tr>
      <w:tr>
        <w:tc>
          <w:tcPr>
            <w:tcW w:type="dxa" w:w="5040"/>
          </w:tcPr>
          <w:p>
            <w:r>
              <w:t>Accounting documents</w:t>
            </w:r>
          </w:p>
        </w:tc>
        <w:tc>
          <w:tcPr>
            <w:tcW w:type="dxa" w:w="5040"/>
          </w:tcPr>
          <w:p>
            <w:r>
              <w:t>79,967</w:t>
            </w:r>
          </w:p>
        </w:tc>
      </w:tr>
      <w:tr>
        <w:tc>
          <w:tcPr>
            <w:tcW w:type="dxa" w:w="5040"/>
          </w:tcPr>
          <w:p>
            <w:r>
              <w:t>Document-level debit/credit reconciliation</w:t>
            </w:r>
          </w:p>
        </w:tc>
        <w:tc>
          <w:tcPr>
            <w:tcW w:type="dxa" w:w="5040"/>
          </w:tcPr>
          <w:p>
            <w:r>
              <w:t>100%</w:t>
            </w:r>
          </w:p>
        </w:tc>
      </w:tr>
      <w:tr>
        <w:tc>
          <w:tcPr>
            <w:tcW w:type="dxa" w:w="5040"/>
          </w:tcPr>
          <w:p>
            <w:r>
              <w:t>ML Revenue Forecast MAPE</w:t>
            </w:r>
          </w:p>
        </w:tc>
        <w:tc>
          <w:tcPr>
            <w:tcW w:type="dxa" w:w="5040"/>
          </w:tcPr>
          <w:p>
            <w:r>
              <w:t>6.27%</w:t>
            </w:r>
          </w:p>
        </w:tc>
      </w:tr>
      <w:tr>
        <w:tc>
          <w:tcPr>
            <w:tcW w:type="dxa" w:w="5040"/>
          </w:tcPr>
          <w:p>
            <w:r>
              <w:t>Rolling Forecast MAPE — same 2025 test period</w:t>
            </w:r>
          </w:p>
        </w:tc>
        <w:tc>
          <w:tcPr>
            <w:tcW w:type="dxa" w:w="5040"/>
          </w:tcPr>
          <w:p>
            <w:r>
              <w:t>5.69%</w:t>
            </w:r>
          </w:p>
        </w:tc>
      </w:tr>
      <w:tr>
        <w:tc>
          <w:tcPr>
            <w:tcW w:type="dxa" w:w="5040"/>
          </w:tcPr>
          <w:p>
            <w:r>
              <w:t>Forecast MAPE gap</w:t>
            </w:r>
          </w:p>
        </w:tc>
        <w:tc>
          <w:tcPr>
            <w:tcW w:type="dxa" w:w="5040"/>
          </w:tcPr>
          <w:p>
            <w:r>
              <w:t>0.58 percentage points</w:t>
            </w:r>
          </w:p>
        </w:tc>
      </w:tr>
      <w:tr>
        <w:tc>
          <w:tcPr>
            <w:tcW w:type="dxa" w:w="5040"/>
          </w:tcPr>
          <w:p>
            <w:r>
              <w:t>Potential unusual transactions</w:t>
            </w:r>
          </w:p>
        </w:tc>
        <w:tc>
          <w:tcPr>
            <w:tcW w:type="dxa" w:w="5040"/>
          </w:tcPr>
          <w:p>
            <w:r>
              <w:t>1,578</w:t>
            </w:r>
          </w:p>
        </w:tc>
      </w:tr>
      <w:tr>
        <w:tc>
          <w:tcPr>
            <w:tcW w:type="dxa" w:w="5040"/>
          </w:tcPr>
          <w:p>
            <w:r>
              <w:t>Overall potential anomaly rate</w:t>
            </w:r>
          </w:p>
        </w:tc>
        <w:tc>
          <w:tcPr>
            <w:tcW w:type="dxa" w:w="5040"/>
          </w:tcPr>
          <w:p>
            <w:r>
              <w:t>0.99%</w:t>
            </w:r>
          </w:p>
        </w:tc>
      </w:tr>
      <w:tr>
        <w:tc>
          <w:tcPr>
            <w:tcW w:type="dxa" w:w="5040"/>
          </w:tcPr>
          <w:p>
            <w:r>
              <w:t>Largest flagged transaction amount</w:t>
            </w:r>
          </w:p>
        </w:tc>
        <w:tc>
          <w:tcPr>
            <w:tcW w:type="dxa" w:w="5040"/>
          </w:tcPr>
          <w:p>
            <w:r>
              <w:t>38.56M in its local currency</w:t>
            </w:r>
          </w:p>
        </w:tc>
      </w:tr>
    </w:tbl>
    <w:p>
      <w:pPr>
        <w:pStyle w:val="Heading1"/>
      </w:pPr>
      <w:r>
        <w:t>7. Important Interpretation Notes</w:t>
      </w:r>
    </w:p>
    <w:p>
      <w:pPr>
        <w:pStyle w:val="ListBullet"/>
      </w:pPr>
      <w:r>
        <w:t>EUR, USD and INR were not combined into one financial total because no FX conversion methodology was applied.</w:t>
      </w:r>
    </w:p>
    <w:p>
      <w:pPr>
        <w:pStyle w:val="ListBullet"/>
      </w:pPr>
      <w:r>
        <w:t>Document reconciliation demonstrates debit/credit balance in the analyzed fields; it does not prove that every business transaction is correct.</w:t>
      </w:r>
    </w:p>
    <w:p>
      <w:pPr>
        <w:pStyle w:val="ListBullet"/>
      </w:pPr>
      <w:r>
        <w:t>Anomaly flags represent unusual patterns identified by the model and require finance review.</w:t>
      </w:r>
    </w:p>
    <w:p>
      <w:pPr>
        <w:pStyle w:val="ListBullet"/>
      </w:pPr>
      <w:r>
        <w:t>Feature importance indicates model reliance on a feature; it does not establish causation.</w:t>
      </w:r>
    </w:p>
    <w:p>
      <w:pPr>
        <w:pStyle w:val="ListBullet"/>
      </w:pPr>
      <w:r>
        <w:t>The rolling forecast and ML forecast comparison uses the same 2025 test period: 5.69% versus 6.27% MAPE.</w:t>
      </w:r>
    </w:p>
    <w:p>
      <w:pPr>
        <w:pStyle w:val="Heading1"/>
      </w:pPr>
      <w:r>
        <w:t>8. Power BI Dashboard</w:t>
      </w:r>
    </w:p>
    <w:p>
      <w:r>
        <w:rPr>
          <w:b/>
        </w:rPr>
        <w:t>Page 1 — Executive FP&amp;A Dashboard</w:t>
      </w:r>
    </w:p>
    <w:p>
      <w:r>
        <w:t>Executive view of Total Revenue, Gross Profit, Operating Profit, Gross Margin, Operating Margin, Revenue vs Budget, monthly revenue trend and annual P&amp;L components.</w:t>
      </w:r>
    </w:p>
    <w:p>
      <w:r>
        <w:rPr>
          <w:b/>
        </w:rPr>
        <w:t>Page 2 — Budget &amp; Variance Analysis</w:t>
      </w:r>
    </w:p>
    <w:p>
      <w:r>
        <w:t>Revenue variance, Revenue Variance %, Operating Profit budget variance, component-level budget variances, monthly revenue budget variance, COGS and Personnel comparisons.</w:t>
      </w:r>
    </w:p>
    <w:p>
      <w:r>
        <w:rPr>
          <w:b/>
        </w:rPr>
        <w:t>Page 3 — Forecast &amp; ML Analysis</w:t>
      </w:r>
    </w:p>
    <w:p>
      <w:r>
        <w:t>ML Revenue Forecast MAPE, Rolling Forecast MAPE for 2025, Forecast MAPE Gap, Actual vs ML Predicted Revenue and Forecast Accuracy Comparison.</w:t>
      </w:r>
    </w:p>
    <w:p>
      <w:r>
        <w:rPr>
          <w:b/>
        </w:rPr>
        <w:t>Page 4 — Financial Anomaly Detection</w:t>
      </w:r>
    </w:p>
    <w:p>
      <w:r>
        <w:t>Potential anomaly count, overall anomaly rate, largest potential anomaly, anomalies by financial category and currency, filters, and a transaction-level investigation table.</w:t>
      </w:r>
    </w:p>
    <w:p>
      <w:pPr>
        <w:pStyle w:val="Heading1"/>
      </w:pPr>
      <w:r>
        <w:t>9. Business Insights</w:t>
      </w:r>
    </w:p>
    <w:p>
      <w:pPr>
        <w:pStyle w:val="ListBullet"/>
      </w:pPr>
      <w:r>
        <w:t>The financial model supports executive-level monitoring of revenue, profitability and budget performance.</w:t>
      </w:r>
    </w:p>
    <w:p>
      <w:pPr>
        <w:pStyle w:val="ListBullet"/>
      </w:pPr>
      <w:r>
        <w:t>The forecast comparison provides a quantitative benchmark between the existing rolling forecast and the Random Forest model.</w:t>
      </w:r>
    </w:p>
    <w:p>
      <w:pPr>
        <w:pStyle w:val="ListBullet"/>
      </w:pPr>
      <w:r>
        <w:t>The model's strongest revenue signal was lag-12 revenue, suggesting a meaningful year-over-year pattern in the available data.</w:t>
      </w:r>
    </w:p>
    <w:p>
      <w:pPr>
        <w:pStyle w:val="ListBullet"/>
      </w:pPr>
      <w:r>
        <w:t>Potential anomalies are concentrated differently across financial categories and currencies, providing a basis for targeted finance investigation.</w:t>
      </w:r>
    </w:p>
    <w:p>
      <w:pPr>
        <w:pStyle w:val="ListBullet"/>
      </w:pPr>
      <w:r>
        <w:t>The dashboard converts transaction-level accounting data into a decision-support workflow for FP&amp;A, forecasting and financial control.</w:t>
      </w:r>
    </w:p>
    <w:p>
      <w:pPr>
        <w:pStyle w:val="Heading1"/>
      </w:pPr>
      <w:r>
        <w:t>10. Resume-Ready Project Description</w:t>
      </w:r>
    </w:p>
    <w:p>
      <w:r>
        <w:t>Financial Performance &amp; FP&amp;A Predictive Analytics | Python, SQL, Power BI, Scikit-learn</w:t>
      </w:r>
    </w:p>
    <w:p>
      <w:pPr>
        <w:pStyle w:val="ListBullet"/>
      </w:pPr>
      <w:r>
        <w:t>Built an end-to-end FP&amp;A analytics solution on 159K+ SAP-style accounting transactions, including data quality validation, financial classification, P&amp;L construction and document-level debit/credit reconciliation.</w:t>
      </w:r>
    </w:p>
    <w:p>
      <w:pPr>
        <w:pStyle w:val="ListBullet"/>
      </w:pPr>
      <w:r>
        <w:t>Developed Power BI dashboards for revenue, profitability, budget variance and financial performance analysis across 2022–2025.</w:t>
      </w:r>
    </w:p>
    <w:p>
      <w:pPr>
        <w:pStyle w:val="ListBullet"/>
      </w:pPr>
      <w:r>
        <w:t>Built a Random Forest revenue forecasting model using time-based lag features and evaluated performance using MAE, RMSE and MAPE; achieved 6.27% MAPE on the 2025 test period.</w:t>
      </w:r>
    </w:p>
    <w:p>
      <w:pPr>
        <w:pStyle w:val="ListBullet"/>
      </w:pPr>
      <w:r>
        <w:t>Applied Isolation Forest anomaly detection with transaction and accounting context, identifying 1,578 potential unusual transactions for finance review.</w:t>
      </w:r>
    </w:p>
    <w:p>
      <w:pPr>
        <w:pStyle w:val="Heading1"/>
      </w:pPr>
      <w:r>
        <w:t>11. Interview Explanation — 2 Minute Version</w:t>
      </w:r>
    </w:p>
    <w:p>
      <w:r>
        <w:t>I developed an end-to-end FP&amp;A analytics project using SAP-style financial transaction data. I first cleaned and validated the accounting data, mapped G/L accounts into financial categories, and used debit/credit indicators to construct signed analytical amounts. I then built monthly P&amp;L metrics including Revenue, Gross Profit, Operating Profit and margins, followed by Actual vs Budget and Rolling Forecast variance analysis. For predictive analytics, I created lag-based revenue features and trained a Random Forest model on historical monthly revenue. The model achieved a 6.27% MAPE on the 2025 test period, while the rolling forecast had 5.69% MAPE on the same period. Finally, I used Isolation Forest to identify 1,578 potential unusual transactions, which I presented as investigation candidates rather than confirmed errors or fraud. I brought the results together in a four-page Power BI dashboard covering executive FP&amp;A, budget variance, forecasting and anomaly detection.</w:t>
      </w:r>
    </w:p>
    <w:p>
      <w:pPr>
        <w:pStyle w:val="Heading1"/>
      </w:pPr>
      <w:r>
        <w:t>12. Suggested GitHub / Portfolio Structure</w:t>
      </w:r>
    </w:p>
    <w:p>
      <w:pPr>
        <w:pStyle w:val="ListBullet"/>
      </w:pPr>
      <w:r>
        <w:t>README.md — project overview, business questions, methodology and key results</w:t>
      </w:r>
    </w:p>
    <w:p>
      <w:pPr>
        <w:pStyle w:val="ListBullet"/>
      </w:pPr>
      <w:r>
        <w:t>notebooks/ — Kaggle/Python analysis notebook</w:t>
      </w:r>
    </w:p>
    <w:p>
      <w:pPr>
        <w:pStyle w:val="ListBullet"/>
      </w:pPr>
      <w:r>
        <w:t>sql/ — SQL analysis and validation queries</w:t>
      </w:r>
    </w:p>
    <w:p>
      <w:pPr>
        <w:pStyle w:val="ListBullet"/>
      </w:pPr>
      <w:r>
        <w:t>data_dictionary/ — field definitions</w:t>
      </w:r>
    </w:p>
    <w:p>
      <w:pPr>
        <w:pStyle w:val="ListBullet"/>
      </w:pPr>
      <w:r>
        <w:t>outputs/ — exported analytical datasets</w:t>
      </w:r>
    </w:p>
    <w:p>
      <w:pPr>
        <w:pStyle w:val="ListBullet"/>
      </w:pPr>
      <w:r>
        <w:t>powerbi/ — Financial_Performance_FPA_Predictive_Analytics.pbix</w:t>
      </w:r>
    </w:p>
    <w:p>
      <w:pPr>
        <w:pStyle w:val="ListBullet"/>
      </w:pPr>
      <w:r>
        <w:t>screenshots/ — dashboard screenshots</w:t>
      </w:r>
    </w:p>
    <w:p>
      <w:pPr>
        <w:pStyle w:val="Heading1"/>
      </w:pPr>
      <w:r>
        <w:t>13. Project Completion Checklist</w:t>
      </w:r>
    </w:p>
    <w:p>
      <w:pPr>
        <w:pStyle w:val="ListBullet"/>
      </w:pPr>
      <w:r>
        <w:t>Data loading and exploration — Completed</w:t>
      </w:r>
    </w:p>
    <w:p>
      <w:pPr>
        <w:pStyle w:val="ListBullet"/>
      </w:pPr>
      <w:r>
        <w:t>Data cleaning and validation — Completed</w:t>
      </w:r>
    </w:p>
    <w:p>
      <w:pPr>
        <w:pStyle w:val="ListBullet"/>
      </w:pPr>
      <w:r>
        <w:t>Financial classification — Completed</w:t>
      </w:r>
    </w:p>
    <w:p>
      <w:pPr>
        <w:pStyle w:val="ListBullet"/>
      </w:pPr>
      <w:r>
        <w:t>Debit/credit validation and reconciliation — Completed</w:t>
      </w:r>
    </w:p>
    <w:p>
      <w:pPr>
        <w:pStyle w:val="ListBullet"/>
      </w:pPr>
      <w:r>
        <w:t>P&amp;L and profitability analysis — Completed</w:t>
      </w:r>
    </w:p>
    <w:p>
      <w:pPr>
        <w:pStyle w:val="ListBullet"/>
      </w:pPr>
      <w:r>
        <w:t>Budget and variance analysis — Completed</w:t>
      </w:r>
    </w:p>
    <w:p>
      <w:pPr>
        <w:pStyle w:val="ListBullet"/>
      </w:pPr>
      <w:r>
        <w:t>Rolling forecast analysis — Completed</w:t>
      </w:r>
    </w:p>
    <w:p>
      <w:pPr>
        <w:pStyle w:val="ListBullet"/>
      </w:pPr>
      <w:r>
        <w:t>ML revenue forecasting — Completed</w:t>
      </w:r>
    </w:p>
    <w:p>
      <w:pPr>
        <w:pStyle w:val="ListBullet"/>
      </w:pPr>
      <w:r>
        <w:t>Forecast evaluation and comparison — Completed</w:t>
      </w:r>
    </w:p>
    <w:p>
      <w:pPr>
        <w:pStyle w:val="ListBullet"/>
      </w:pPr>
      <w:r>
        <w:t>Isolation Forest anomaly detection — Completed</w:t>
      </w:r>
    </w:p>
    <w:p>
      <w:pPr>
        <w:pStyle w:val="ListBullet"/>
      </w:pPr>
      <w:r>
        <w:t>Power BI dashboard — Completed</w:t>
      </w:r>
    </w:p>
    <w:p>
      <w:pPr>
        <w:pStyle w:val="ListBullet"/>
      </w:pPr>
      <w:r>
        <w:t>Resume and interview preparation — Ready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Financial Performance &amp; FP&amp;A Predictive Analytics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