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4C81"/>
          <w:sz w:val="52"/>
        </w:rPr>
        <w:t>Paper Trading &amp; Social Investment App</w:t>
      </w:r>
    </w:p>
    <w:p>
      <w:pPr>
        <w:spacing w:after="360"/>
      </w:pPr>
      <w:r>
        <w:rPr>
          <w:rFonts w:ascii="Calibri" w:hAnsi="Calibri"/>
          <w:color w:val="64748B"/>
          <w:sz w:val="28"/>
        </w:rPr>
        <w:t>Comprehensive Project Study Guide, Technical Architecture &amp; Financial Fundamentals</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after="0"/>
            </w:pPr>
            <w:r>
              <w:rPr>
                <w:rFonts w:ascii="Calibri" w:hAnsi="Calibri"/>
                <w:b/>
                <w:color w:val="0F4C81"/>
                <w:sz w:val="20"/>
              </w:rPr>
              <w:t>PREPARED FOR: Final Project Evaluation &amp; Mentor Defense Presentation</w:t>
              <w:br/>
              <w:t>CORE DOMAIN: Financial Markets, Real-Time Simulation, Gamified Learning, AI/ML</w:t>
              <w:br/>
              <w:t>TECH STACK: React Native (Expo SDK 52), Node.js, Express, MongoDB Atlas, Python, Render.com, EAS Update</w:t>
            </w:r>
          </w:p>
        </w:tc>
      </w:tr>
    </w:tbl>
    <w:p>
      <w:pPr>
        <w:spacing w:after="240"/>
      </w:pPr>
    </w:p>
    <w:p>
      <w:pPr>
        <w:spacing w:before="360" w:after="120"/>
      </w:pPr>
      <w:r>
        <w:rPr>
          <w:rFonts w:ascii="Calibri" w:hAnsi="Calibri"/>
          <w:b/>
          <w:color w:val="0F4C81"/>
          <w:sz w:val="36"/>
        </w:rPr>
        <w:t>Chapter 1: The Stock Market Explained from Zero</w:t>
      </w:r>
    </w:p>
    <w:p>
      <w:pPr>
        <w:spacing w:before="240" w:after="80"/>
      </w:pPr>
      <w:r>
        <w:rPr>
          <w:rFonts w:ascii="Calibri" w:hAnsi="Calibri"/>
          <w:b/>
          <w:color w:val="10B981"/>
          <w:sz w:val="28"/>
        </w:rPr>
        <w:t>1.1 The Story of Rohan's Cafe (How Shares Are Born)</w:t>
      </w:r>
    </w:p>
    <w:p>
      <w:pPr>
        <w:spacing w:after="80" w:line="276" w:lineRule="auto"/>
      </w:pPr>
      <w:r>
        <w:rPr>
          <w:rFonts w:ascii="Calibri" w:hAnsi="Calibri"/>
          <w:color w:val="1E293B"/>
          <w:sz w:val="21"/>
        </w:rPr>
        <w:t>To understand the stock market, imagine your friend Rohan wants to open a cafe. Setting it up costs ₹1,00,000. Rohan only has ₹50,000 of his own savings. He needs another ₹50,000.</w:t>
      </w:r>
    </w:p>
    <w:p>
      <w:pPr>
        <w:spacing w:after="80" w:line="276" w:lineRule="auto"/>
      </w:pPr>
      <w:r>
        <w:rPr>
          <w:rFonts w:ascii="Calibri" w:hAnsi="Calibri"/>
          <w:b/>
          <w:color w:val="1E293B"/>
          <w:sz w:val="21"/>
        </w:rPr>
        <w:t xml:space="preserve">Debt vs Equity: </w:t>
      </w:r>
      <w:r>
        <w:rPr>
          <w:rFonts w:ascii="Calibri" w:hAnsi="Calibri"/>
          <w:color w:val="1E293B"/>
          <w:sz w:val="21"/>
        </w:rPr>
        <w:t>Option A: Bank Loan (Debt). The bank demands mandatory monthly interest regardless of whether the business makes a profit or suffers a loss. If the cafe fails, Rohan remains personally indebted.</w:t>
      </w:r>
    </w:p>
    <w:p>
      <w:pPr>
        <w:spacing w:after="80" w:line="276" w:lineRule="auto"/>
      </w:pPr>
      <w:r>
        <w:rPr>
          <w:rFonts w:ascii="Calibri" w:hAnsi="Calibri"/>
          <w:b/>
          <w:color w:val="1E293B"/>
          <w:sz w:val="21"/>
        </w:rPr>
        <w:t xml:space="preserve">The Solution: </w:t>
      </w:r>
      <w:r>
        <w:rPr>
          <w:rFonts w:ascii="Calibri" w:hAnsi="Calibri"/>
          <w:color w:val="1E293B"/>
          <w:sz w:val="21"/>
        </w:rPr>
        <w:t>Option B: Equity Shares (Ownership). Rohan comes to you and asks for ₹50,000 in exchange for 50% ownership of the cafe. If the cafe earns ₹20,000 profit, you receive ₹10,000. If it earns zero profit, you demand zero interest. You are now a shareholder holding 500 shares out of 1,000 total shares (50% equity).</w:t>
      </w:r>
    </w:p>
    <w:p>
      <w:pPr>
        <w:spacing w:before="240" w:after="80"/>
      </w:pPr>
      <w:r>
        <w:rPr>
          <w:rFonts w:ascii="Calibri" w:hAnsi="Calibri"/>
          <w:b/>
          <w:color w:val="10B981"/>
          <w:sz w:val="28"/>
        </w:rPr>
        <w:t>1.2 Going Public: What is an IPO?</w:t>
      </w:r>
    </w:p>
    <w:p>
      <w:pPr>
        <w:spacing w:after="80" w:line="276" w:lineRule="auto"/>
      </w:pPr>
      <w:r>
        <w:rPr>
          <w:rFonts w:ascii="Calibri" w:hAnsi="Calibri"/>
          <w:color w:val="1E293B"/>
          <w:sz w:val="21"/>
        </w:rPr>
        <w:t>When Rohan's cafe becomes wildly successful across India and requires ₹50 Crores to build 500 new outlets, bank loans and private friends are insufficient. The company conducts an Initial Public Offering (IPO), offering shares to institutional funds, mutual funds, and retail citizens for the first time. The company is now listed on a public stock exchange.</w:t>
      </w:r>
    </w:p>
    <w:p>
      <w:pPr>
        <w:spacing w:before="240" w:after="80"/>
      </w:pPr>
      <w:r>
        <w:rPr>
          <w:rFonts w:ascii="Calibri" w:hAnsi="Calibri"/>
          <w:b/>
          <w:color w:val="10B981"/>
          <w:sz w:val="28"/>
        </w:rPr>
        <w:t>1.3 The 5 Core Entities of the Market Ecosystem</w:t>
      </w:r>
    </w:p>
    <w:p>
      <w:pPr>
        <w:spacing w:after="80" w:line="276" w:lineRule="auto"/>
      </w:pPr>
      <w:r>
        <w:rPr>
          <w:rFonts w:ascii="Calibri" w:hAnsi="Calibri"/>
          <w:b/>
          <w:color w:val="1E293B"/>
          <w:sz w:val="21"/>
        </w:rPr>
        <w:t xml:space="preserve">1. Stock Exchange: </w:t>
      </w:r>
      <w:r>
        <w:rPr>
          <w:rFonts w:ascii="Calibri" w:hAnsi="Calibri"/>
          <w:color w:val="1E293B"/>
          <w:sz w:val="21"/>
        </w:rPr>
        <w:t>The marketplace (digital auction house) where shares are bought and sold. India's primary exchanges are the National Stock Exchange (NSE) and Bombay Stock Exchange (BSE).</w:t>
      </w:r>
    </w:p>
    <w:p>
      <w:pPr>
        <w:spacing w:after="80" w:line="276" w:lineRule="auto"/>
      </w:pPr>
      <w:r>
        <w:rPr>
          <w:rFonts w:ascii="Calibri" w:hAnsi="Calibri"/>
          <w:b/>
          <w:color w:val="1E293B"/>
          <w:sz w:val="21"/>
        </w:rPr>
        <w:t xml:space="preserve">2. Stock Broker: </w:t>
      </w:r>
      <w:r>
        <w:rPr>
          <w:rFonts w:ascii="Calibri" w:hAnsi="Calibri"/>
          <w:color w:val="1E293B"/>
          <w:sz w:val="21"/>
        </w:rPr>
        <w:t>Registered entities (Zerodha, Groww, AngelOne) that provide software gateways connecting retail users to the exchange matching engine.</w:t>
      </w:r>
    </w:p>
    <w:p>
      <w:pPr>
        <w:spacing w:after="80" w:line="276" w:lineRule="auto"/>
      </w:pPr>
      <w:r>
        <w:rPr>
          <w:rFonts w:ascii="Calibri" w:hAnsi="Calibri"/>
          <w:b/>
          <w:color w:val="1E293B"/>
          <w:sz w:val="21"/>
        </w:rPr>
        <w:t xml:space="preserve">3. Depositories: </w:t>
      </w:r>
      <w:r>
        <w:rPr>
          <w:rFonts w:ascii="Calibri" w:hAnsi="Calibri"/>
          <w:color w:val="1E293B"/>
          <w:sz w:val="21"/>
        </w:rPr>
        <w:t>Digital repositories (CDSL and NSDL) that safeguard shares electronically in your Demat account, similar to a digital bank vault.</w:t>
      </w:r>
    </w:p>
    <w:p>
      <w:pPr>
        <w:spacing w:after="80" w:line="276" w:lineRule="auto"/>
      </w:pPr>
      <w:r>
        <w:rPr>
          <w:rFonts w:ascii="Calibri" w:hAnsi="Calibri"/>
          <w:b/>
          <w:color w:val="1E293B"/>
          <w:sz w:val="21"/>
        </w:rPr>
        <w:t xml:space="preserve">4. SEBI: </w:t>
      </w:r>
      <w:r>
        <w:rPr>
          <w:rFonts w:ascii="Calibri" w:hAnsi="Calibri"/>
          <w:color w:val="1E293B"/>
          <w:sz w:val="21"/>
        </w:rPr>
        <w:t>Securities and Exchange Board of India. The government regulatory authority protecting retail investors, preventing price rigging, and enforcing disclosure.</w:t>
      </w:r>
    </w:p>
    <w:p>
      <w:pPr>
        <w:spacing w:after="80" w:line="276" w:lineRule="auto"/>
      </w:pPr>
      <w:r>
        <w:rPr>
          <w:rFonts w:ascii="Calibri" w:hAnsi="Calibri"/>
          <w:b/>
          <w:color w:val="1E293B"/>
          <w:sz w:val="21"/>
        </w:rPr>
        <w:t xml:space="preserve">5. Benchmark Indices: </w:t>
      </w:r>
      <w:r>
        <w:rPr>
          <w:rFonts w:ascii="Calibri" w:hAnsi="Calibri"/>
          <w:color w:val="1E293B"/>
          <w:sz w:val="21"/>
        </w:rPr>
        <w:t>Statistical baskets reflecting broad market health. NIFTY 50 tracks the top 50 largest Indian companies on the NSE; SENSEX tracks the top 30 on the BSE.</w:t>
      </w:r>
    </w:p>
    <w:p>
      <w:pPr>
        <w:spacing w:before="240" w:after="80"/>
      </w:pPr>
      <w:r>
        <w:rPr>
          <w:rFonts w:ascii="Calibri" w:hAnsi="Calibri"/>
          <w:b/>
          <w:color w:val="10B981"/>
          <w:sz w:val="28"/>
        </w:rPr>
        <w:t>1.4 How Money is Made &amp; Why Prices Fluctuate</w:t>
      </w:r>
    </w:p>
    <w:p>
      <w:pPr>
        <w:spacing w:after="80" w:line="276" w:lineRule="auto"/>
      </w:pPr>
      <w:r>
        <w:rPr>
          <w:rFonts w:ascii="Calibri" w:hAnsi="Calibri"/>
          <w:color w:val="1E293B"/>
          <w:sz w:val="21"/>
        </w:rPr>
        <w:t>Investors profit through two channels: Capital Appreciation (buying a share at ₹500 and selling at ₹800 as the company expands) and Cash Dividends (the company distributing surplus cash profits straight into shareholder bank accounts).</w:t>
      </w:r>
    </w:p>
    <w:p>
      <w:pPr>
        <w:spacing w:after="80" w:line="276" w:lineRule="auto"/>
      </w:pPr>
      <w:r>
        <w:rPr>
          <w:rFonts w:ascii="Calibri" w:hAnsi="Calibri"/>
          <w:color w:val="1E293B"/>
          <w:sz w:val="21"/>
        </w:rPr>
        <w:t>Prices fluctuate every second because of the Central Limit Order Book (CLOB). At any millisecond, buyers place Bids (highest price they are willing to pay) and sellers place Asks (lowest price they will accept). When aggressive buyers match the Ask price, the Last Traded Price (LTP) ticks upward. When sellers panic and hit the Bid, LTP drops.</w:t>
      </w:r>
    </w:p>
    <w:p>
      <w:pPr>
        <w:spacing w:before="360" w:after="120"/>
      </w:pPr>
      <w:r>
        <w:rPr>
          <w:rFonts w:ascii="Calibri" w:hAnsi="Calibri"/>
          <w:b/>
          <w:color w:val="0F4C81"/>
          <w:sz w:val="36"/>
        </w:rPr>
        <w:t>Chapter 2: Master Financial Jargon Dictionary</w:t>
      </w:r>
    </w:p>
    <w:p>
      <w:pPr>
        <w:spacing w:after="80" w:line="276" w:lineRule="auto"/>
      </w:pPr>
      <w:r>
        <w:rPr>
          <w:rFonts w:ascii="Calibri" w:hAnsi="Calibri"/>
          <w:color w:val="1E293B"/>
          <w:sz w:val="21"/>
        </w:rPr>
        <w:t>Every financial term, full form, definition, formula, and benchmark used across our Paper Trading app and stock screeners:</w:t>
      </w:r>
    </w:p>
    <w:tbl>
      <w:tblPr>
        <w:tblW w:type="auto" w:w="0"/>
        <w:jc w:val="center"/>
        <w:tblLook w:firstColumn="1" w:firstRow="1" w:lastColumn="0" w:lastRow="0" w:noHBand="0" w:noVBand="1" w:val="04A0"/>
      </w:tblPr>
      <w:tblGrid>
        <w:gridCol w:w="2520"/>
        <w:gridCol w:w="2520"/>
        <w:gridCol w:w="2520"/>
        <w:gridCol w:w="2520"/>
      </w:tblGrid>
      <w:tr>
        <w:tc>
          <w:tcPr>
            <w:tcW w:type="dxa" w:w="2520"/>
            <w:shd w:fill="0F4C81"/>
            <w:tcMar>
              <w:top w:w="100" w:type="dxa"/>
              <w:bottom w:w="100" w:type="dxa"/>
              <w:left w:w="100" w:type="dxa"/>
              <w:right w:w="100" w:type="dxa"/>
            </w:tcMar>
          </w:tcPr>
          <w:p>
            <w:pPr>
              <w:spacing w:before="40" w:after="40" w:line="252" w:lineRule="auto"/>
            </w:pPr>
            <w:r>
              <w:rPr>
                <w:b/>
                <w:color w:val="FFFFFF"/>
                <w:sz w:val="19"/>
              </w:rPr>
              <w:t>Term / Acronym</w:t>
            </w:r>
          </w:p>
        </w:tc>
        <w:tc>
          <w:tcPr>
            <w:tcW w:type="dxa" w:w="2520"/>
            <w:shd w:fill="0F4C81"/>
            <w:tcMar>
              <w:top w:w="100" w:type="dxa"/>
              <w:bottom w:w="100" w:type="dxa"/>
              <w:left w:w="100" w:type="dxa"/>
              <w:right w:w="100" w:type="dxa"/>
            </w:tcMar>
          </w:tcPr>
          <w:p>
            <w:pPr>
              <w:spacing w:before="40" w:after="40" w:line="252" w:lineRule="auto"/>
            </w:pPr>
            <w:r>
              <w:rPr>
                <w:b/>
                <w:color w:val="FFFFFF"/>
                <w:sz w:val="19"/>
              </w:rPr>
              <w:t>Full Form</w:t>
            </w:r>
          </w:p>
        </w:tc>
        <w:tc>
          <w:tcPr>
            <w:tcW w:type="dxa" w:w="2520"/>
            <w:shd w:fill="0F4C81"/>
            <w:tcMar>
              <w:top w:w="100" w:type="dxa"/>
              <w:bottom w:w="100" w:type="dxa"/>
              <w:left w:w="100" w:type="dxa"/>
              <w:right w:w="100" w:type="dxa"/>
            </w:tcMar>
          </w:tcPr>
          <w:p>
            <w:pPr>
              <w:spacing w:before="40" w:after="40" w:line="252" w:lineRule="auto"/>
            </w:pPr>
            <w:r>
              <w:rPr>
                <w:b/>
                <w:color w:val="FFFFFF"/>
                <w:sz w:val="19"/>
              </w:rPr>
              <w:t>Plain English Definition</w:t>
            </w:r>
          </w:p>
        </w:tc>
        <w:tc>
          <w:tcPr>
            <w:tcW w:type="dxa" w:w="2520"/>
            <w:shd w:fill="0F4C81"/>
            <w:tcMar>
              <w:top w:w="100" w:type="dxa"/>
              <w:bottom w:w="100" w:type="dxa"/>
              <w:left w:w="100" w:type="dxa"/>
              <w:right w:w="100" w:type="dxa"/>
            </w:tcMar>
          </w:tcPr>
          <w:p>
            <w:pPr>
              <w:spacing w:before="40" w:after="40" w:line="252" w:lineRule="auto"/>
            </w:pPr>
            <w:r>
              <w:rPr>
                <w:b/>
                <w:color w:val="FFFFFF"/>
                <w:sz w:val="19"/>
              </w:rPr>
              <w:t>Healthy Benchmark / Meaning</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Market Cap</w:t>
            </w:r>
          </w:p>
        </w:tc>
        <w:tc>
          <w:tcPr>
            <w:tcW w:type="dxa" w:w="2520"/>
            <w:shd w:fill="F8FAFC"/>
            <w:tcMar>
              <w:top w:w="80" w:type="dxa"/>
              <w:bottom w:w="80" w:type="dxa"/>
              <w:left w:w="100" w:type="dxa"/>
              <w:right w:w="100" w:type="dxa"/>
            </w:tcMar>
          </w:tcPr>
          <w:p>
            <w:pPr>
              <w:spacing w:before="40" w:after="40" w:line="252" w:lineRule="auto"/>
            </w:pPr>
            <w:r>
              <w:rPr>
                <w:color w:val="1E293B"/>
                <w:sz w:val="18"/>
              </w:rPr>
              <w:t>Market Capitalization</w:t>
            </w:r>
          </w:p>
        </w:tc>
        <w:tc>
          <w:tcPr>
            <w:tcW w:type="dxa" w:w="2520"/>
            <w:shd w:fill="F8FAFC"/>
            <w:tcMar>
              <w:top w:w="80" w:type="dxa"/>
              <w:bottom w:w="80" w:type="dxa"/>
              <w:left w:w="100" w:type="dxa"/>
              <w:right w:w="100" w:type="dxa"/>
            </w:tcMar>
          </w:tcPr>
          <w:p>
            <w:pPr>
              <w:spacing w:before="40" w:after="40" w:line="252" w:lineRule="auto"/>
            </w:pPr>
            <w:r>
              <w:rPr>
                <w:color w:val="1E293B"/>
                <w:sz w:val="18"/>
              </w:rPr>
              <w:t>Total monetary value of all company shares: Price × Outstanding Shares.</w:t>
            </w:r>
          </w:p>
        </w:tc>
        <w:tc>
          <w:tcPr>
            <w:tcW w:type="dxa" w:w="2520"/>
            <w:shd w:fill="F8FAFC"/>
            <w:tcMar>
              <w:top w:w="80" w:type="dxa"/>
              <w:bottom w:w="80" w:type="dxa"/>
              <w:left w:w="100" w:type="dxa"/>
              <w:right w:w="100" w:type="dxa"/>
            </w:tcMar>
          </w:tcPr>
          <w:p>
            <w:pPr>
              <w:spacing w:before="40" w:after="40" w:line="252" w:lineRule="auto"/>
            </w:pPr>
            <w:r>
              <w:rPr>
                <w:color w:val="1E293B"/>
                <w:sz w:val="18"/>
              </w:rPr>
              <w:t>Large Cap: &gt; ₹20k Cr</w:t>
              <w:br/>
              <w:t>Mid Cap: ₹5k-20k Cr</w:t>
              <w:br/>
              <w:t>Small Cap: &lt; ₹5k Cr</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LTP</w:t>
            </w:r>
          </w:p>
        </w:tc>
        <w:tc>
          <w:tcPr>
            <w:tcW w:type="dxa" w:w="2520"/>
            <w:shd w:fill="FFFFFF"/>
            <w:tcMar>
              <w:top w:w="80" w:type="dxa"/>
              <w:bottom w:w="80" w:type="dxa"/>
              <w:left w:w="100" w:type="dxa"/>
              <w:right w:w="100" w:type="dxa"/>
            </w:tcMar>
          </w:tcPr>
          <w:p>
            <w:pPr>
              <w:spacing w:before="40" w:after="40" w:line="252" w:lineRule="auto"/>
            </w:pPr>
            <w:r>
              <w:rPr>
                <w:color w:val="1E293B"/>
                <w:sz w:val="18"/>
              </w:rPr>
              <w:t>Last Traded Price</w:t>
            </w:r>
          </w:p>
        </w:tc>
        <w:tc>
          <w:tcPr>
            <w:tcW w:type="dxa" w:w="2520"/>
            <w:shd w:fill="FFFFFF"/>
            <w:tcMar>
              <w:top w:w="80" w:type="dxa"/>
              <w:bottom w:w="80" w:type="dxa"/>
              <w:left w:w="100" w:type="dxa"/>
              <w:right w:w="100" w:type="dxa"/>
            </w:tcMar>
          </w:tcPr>
          <w:p>
            <w:pPr>
              <w:spacing w:before="40" w:after="40" w:line="252" w:lineRule="auto"/>
            </w:pPr>
            <w:r>
              <w:rPr>
                <w:color w:val="1E293B"/>
                <w:sz w:val="18"/>
              </w:rPr>
              <w:t>The exact price at which the most recent trade was matched on the exchange.</w:t>
            </w:r>
          </w:p>
        </w:tc>
        <w:tc>
          <w:tcPr>
            <w:tcW w:type="dxa" w:w="2520"/>
            <w:shd w:fill="FFFFFF"/>
            <w:tcMar>
              <w:top w:w="80" w:type="dxa"/>
              <w:bottom w:w="80" w:type="dxa"/>
              <w:left w:w="100" w:type="dxa"/>
              <w:right w:w="100" w:type="dxa"/>
            </w:tcMar>
          </w:tcPr>
          <w:p>
            <w:pPr>
              <w:spacing w:before="40" w:after="40" w:line="252" w:lineRule="auto"/>
            </w:pPr>
            <w:r>
              <w:rPr>
                <w:color w:val="1E293B"/>
                <w:sz w:val="18"/>
              </w:rPr>
              <w:t>Real-time price displayed prominently on stock screen.</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EPS</w:t>
            </w:r>
          </w:p>
        </w:tc>
        <w:tc>
          <w:tcPr>
            <w:tcW w:type="dxa" w:w="2520"/>
            <w:shd w:fill="F8FAFC"/>
            <w:tcMar>
              <w:top w:w="80" w:type="dxa"/>
              <w:bottom w:w="80" w:type="dxa"/>
              <w:left w:w="100" w:type="dxa"/>
              <w:right w:w="100" w:type="dxa"/>
            </w:tcMar>
          </w:tcPr>
          <w:p>
            <w:pPr>
              <w:spacing w:before="40" w:after="40" w:line="252" w:lineRule="auto"/>
            </w:pPr>
            <w:r>
              <w:rPr>
                <w:color w:val="1E293B"/>
                <w:sz w:val="18"/>
              </w:rPr>
              <w:t>Earnings Per Share</w:t>
            </w:r>
          </w:p>
        </w:tc>
        <w:tc>
          <w:tcPr>
            <w:tcW w:type="dxa" w:w="2520"/>
            <w:shd w:fill="F8FAFC"/>
            <w:tcMar>
              <w:top w:w="80" w:type="dxa"/>
              <w:bottom w:w="80" w:type="dxa"/>
              <w:left w:w="100" w:type="dxa"/>
              <w:right w:w="100" w:type="dxa"/>
            </w:tcMar>
          </w:tcPr>
          <w:p>
            <w:pPr>
              <w:spacing w:before="40" w:after="40" w:line="252" w:lineRule="auto"/>
            </w:pPr>
            <w:r>
              <w:rPr>
                <w:color w:val="1E293B"/>
                <w:sz w:val="18"/>
              </w:rPr>
              <w:t>Net profit after taxes divided by total shares. Measures profit earned per single share.</w:t>
            </w:r>
          </w:p>
        </w:tc>
        <w:tc>
          <w:tcPr>
            <w:tcW w:type="dxa" w:w="2520"/>
            <w:shd w:fill="F8FAFC"/>
            <w:tcMar>
              <w:top w:w="80" w:type="dxa"/>
              <w:bottom w:w="80" w:type="dxa"/>
              <w:left w:w="100" w:type="dxa"/>
              <w:right w:w="100" w:type="dxa"/>
            </w:tcMar>
          </w:tcPr>
          <w:p>
            <w:pPr>
              <w:spacing w:before="40" w:after="40" w:line="252" w:lineRule="auto"/>
            </w:pPr>
            <w:r>
              <w:rPr>
                <w:color w:val="1E293B"/>
                <w:sz w:val="18"/>
              </w:rPr>
              <w:t>High &amp; growing EPS (&gt; ₹25) is ideal. Negative EPS indicates net losses.</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P/E Ratio</w:t>
            </w:r>
          </w:p>
        </w:tc>
        <w:tc>
          <w:tcPr>
            <w:tcW w:type="dxa" w:w="2520"/>
            <w:shd w:fill="FFFFFF"/>
            <w:tcMar>
              <w:top w:w="80" w:type="dxa"/>
              <w:bottom w:w="80" w:type="dxa"/>
              <w:left w:w="100" w:type="dxa"/>
              <w:right w:w="100" w:type="dxa"/>
            </w:tcMar>
          </w:tcPr>
          <w:p>
            <w:pPr>
              <w:spacing w:before="40" w:after="40" w:line="252" w:lineRule="auto"/>
            </w:pPr>
            <w:r>
              <w:rPr>
                <w:color w:val="1E293B"/>
                <w:sz w:val="18"/>
              </w:rPr>
              <w:t>Price-to-Earnings</w:t>
            </w:r>
          </w:p>
        </w:tc>
        <w:tc>
          <w:tcPr>
            <w:tcW w:type="dxa" w:w="2520"/>
            <w:shd w:fill="FFFFFF"/>
            <w:tcMar>
              <w:top w:w="80" w:type="dxa"/>
              <w:bottom w:w="80" w:type="dxa"/>
              <w:left w:w="100" w:type="dxa"/>
              <w:right w:w="100" w:type="dxa"/>
            </w:tcMar>
          </w:tcPr>
          <w:p>
            <w:pPr>
              <w:spacing w:before="40" w:after="40" w:line="252" w:lineRule="auto"/>
            </w:pPr>
            <w:r>
              <w:rPr>
                <w:color w:val="1E293B"/>
                <w:sz w:val="18"/>
              </w:rPr>
              <w:t>Market price divided by EPS. How many rupees investors pay for ₹1 of annual earnings.</w:t>
            </w:r>
          </w:p>
        </w:tc>
        <w:tc>
          <w:tcPr>
            <w:tcW w:type="dxa" w:w="2520"/>
            <w:shd w:fill="FFFFFF"/>
            <w:tcMar>
              <w:top w:w="80" w:type="dxa"/>
              <w:bottom w:w="80" w:type="dxa"/>
              <w:left w:w="100" w:type="dxa"/>
              <w:right w:w="100" w:type="dxa"/>
            </w:tcMar>
          </w:tcPr>
          <w:p>
            <w:pPr>
              <w:spacing w:before="40" w:after="40" w:line="252" w:lineRule="auto"/>
            </w:pPr>
            <w:r>
              <w:rPr>
                <w:color w:val="1E293B"/>
                <w:sz w:val="18"/>
              </w:rPr>
              <w:t>Compare with Industry PE. High P/E (&gt;40) = expensive; Low P/E (&lt;20) = cheap.</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P/B Ratio</w:t>
            </w:r>
          </w:p>
        </w:tc>
        <w:tc>
          <w:tcPr>
            <w:tcW w:type="dxa" w:w="2520"/>
            <w:shd w:fill="F8FAFC"/>
            <w:tcMar>
              <w:top w:w="80" w:type="dxa"/>
              <w:bottom w:w="80" w:type="dxa"/>
              <w:left w:w="100" w:type="dxa"/>
              <w:right w:w="100" w:type="dxa"/>
            </w:tcMar>
          </w:tcPr>
          <w:p>
            <w:pPr>
              <w:spacing w:before="40" w:after="40" w:line="252" w:lineRule="auto"/>
            </w:pPr>
            <w:r>
              <w:rPr>
                <w:color w:val="1E293B"/>
                <w:sz w:val="18"/>
              </w:rPr>
              <w:t>Price-to-Book</w:t>
            </w:r>
          </w:p>
        </w:tc>
        <w:tc>
          <w:tcPr>
            <w:tcW w:type="dxa" w:w="2520"/>
            <w:shd w:fill="F8FAFC"/>
            <w:tcMar>
              <w:top w:w="80" w:type="dxa"/>
              <w:bottom w:w="80" w:type="dxa"/>
              <w:left w:w="100" w:type="dxa"/>
              <w:right w:w="100" w:type="dxa"/>
            </w:tcMar>
          </w:tcPr>
          <w:p>
            <w:pPr>
              <w:spacing w:before="40" w:after="40" w:line="252" w:lineRule="auto"/>
            </w:pPr>
            <w:r>
              <w:rPr>
                <w:color w:val="1E293B"/>
                <w:sz w:val="18"/>
              </w:rPr>
              <w:t>Market price divided by Book Value per share (liquidation value of physical assets).</w:t>
            </w:r>
          </w:p>
        </w:tc>
        <w:tc>
          <w:tcPr>
            <w:tcW w:type="dxa" w:w="2520"/>
            <w:shd w:fill="F8FAFC"/>
            <w:tcMar>
              <w:top w:w="80" w:type="dxa"/>
              <w:bottom w:w="80" w:type="dxa"/>
              <w:left w:w="100" w:type="dxa"/>
              <w:right w:w="100" w:type="dxa"/>
            </w:tcMar>
          </w:tcPr>
          <w:p>
            <w:pPr>
              <w:spacing w:before="40" w:after="40" w:line="252" w:lineRule="auto"/>
            </w:pPr>
            <w:r>
              <w:rPr>
                <w:color w:val="1E293B"/>
                <w:sz w:val="18"/>
              </w:rPr>
              <w:t>P/B &lt; 1 means trading below asset value. Asset-light tech firms trade at 5-10+.</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ROE</w:t>
            </w:r>
          </w:p>
        </w:tc>
        <w:tc>
          <w:tcPr>
            <w:tcW w:type="dxa" w:w="2520"/>
            <w:shd w:fill="FFFFFF"/>
            <w:tcMar>
              <w:top w:w="80" w:type="dxa"/>
              <w:bottom w:w="80" w:type="dxa"/>
              <w:left w:w="100" w:type="dxa"/>
              <w:right w:w="100" w:type="dxa"/>
            </w:tcMar>
          </w:tcPr>
          <w:p>
            <w:pPr>
              <w:spacing w:before="40" w:after="40" w:line="252" w:lineRule="auto"/>
            </w:pPr>
            <w:r>
              <w:rPr>
                <w:color w:val="1E293B"/>
                <w:sz w:val="18"/>
              </w:rPr>
              <w:t>Return on Equity</w:t>
            </w:r>
          </w:p>
        </w:tc>
        <w:tc>
          <w:tcPr>
            <w:tcW w:type="dxa" w:w="2520"/>
            <w:shd w:fill="FFFFFF"/>
            <w:tcMar>
              <w:top w:w="80" w:type="dxa"/>
              <w:bottom w:w="80" w:type="dxa"/>
              <w:left w:w="100" w:type="dxa"/>
              <w:right w:w="100" w:type="dxa"/>
            </w:tcMar>
          </w:tcPr>
          <w:p>
            <w:pPr>
              <w:spacing w:before="40" w:after="40" w:line="252" w:lineRule="auto"/>
            </w:pPr>
            <w:r>
              <w:rPr>
                <w:color w:val="1E293B"/>
                <w:sz w:val="18"/>
              </w:rPr>
              <w:t>Net income divided by shareholders' equity. Measures management profit efficiency.</w:t>
            </w:r>
          </w:p>
        </w:tc>
        <w:tc>
          <w:tcPr>
            <w:tcW w:type="dxa" w:w="2520"/>
            <w:shd w:fill="FFFFFF"/>
            <w:tcMar>
              <w:top w:w="80" w:type="dxa"/>
              <w:bottom w:w="80" w:type="dxa"/>
              <w:left w:w="100" w:type="dxa"/>
              <w:right w:w="100" w:type="dxa"/>
            </w:tcMar>
          </w:tcPr>
          <w:p>
            <w:pPr>
              <w:spacing w:before="40" w:after="40" w:line="252" w:lineRule="auto"/>
            </w:pPr>
            <w:r>
              <w:rPr>
                <w:color w:val="1E293B"/>
                <w:sz w:val="18"/>
              </w:rPr>
              <w:t>Healthy: &gt; 15-20%. Consistently high ROE proves competitive advantage (Moat).</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ROCE</w:t>
            </w:r>
          </w:p>
        </w:tc>
        <w:tc>
          <w:tcPr>
            <w:tcW w:type="dxa" w:w="2520"/>
            <w:shd w:fill="F8FAFC"/>
            <w:tcMar>
              <w:top w:w="80" w:type="dxa"/>
              <w:bottom w:w="80" w:type="dxa"/>
              <w:left w:w="100" w:type="dxa"/>
              <w:right w:w="100" w:type="dxa"/>
            </w:tcMar>
          </w:tcPr>
          <w:p>
            <w:pPr>
              <w:spacing w:before="40" w:after="40" w:line="252" w:lineRule="auto"/>
            </w:pPr>
            <w:r>
              <w:rPr>
                <w:color w:val="1E293B"/>
                <w:sz w:val="18"/>
              </w:rPr>
              <w:t>Return on Capital Employed</w:t>
            </w:r>
          </w:p>
        </w:tc>
        <w:tc>
          <w:tcPr>
            <w:tcW w:type="dxa" w:w="2520"/>
            <w:shd w:fill="F8FAFC"/>
            <w:tcMar>
              <w:top w:w="80" w:type="dxa"/>
              <w:bottom w:w="80" w:type="dxa"/>
              <w:left w:w="100" w:type="dxa"/>
              <w:right w:w="100" w:type="dxa"/>
            </w:tcMar>
          </w:tcPr>
          <w:p>
            <w:pPr>
              <w:spacing w:before="40" w:after="40" w:line="252" w:lineRule="auto"/>
            </w:pPr>
            <w:r>
              <w:rPr>
                <w:color w:val="1E293B"/>
                <w:sz w:val="18"/>
              </w:rPr>
              <w:t>EBIT divided by total capital (Equity + Debt). Measures total capital efficiency.</w:t>
            </w:r>
          </w:p>
        </w:tc>
        <w:tc>
          <w:tcPr>
            <w:tcW w:type="dxa" w:w="2520"/>
            <w:shd w:fill="F8FAFC"/>
            <w:tcMar>
              <w:top w:w="80" w:type="dxa"/>
              <w:bottom w:w="80" w:type="dxa"/>
              <w:left w:w="100" w:type="dxa"/>
              <w:right w:w="100" w:type="dxa"/>
            </w:tcMar>
          </w:tcPr>
          <w:p>
            <w:pPr>
              <w:spacing w:before="40" w:after="40" w:line="252" w:lineRule="auto"/>
            </w:pPr>
            <w:r>
              <w:rPr>
                <w:color w:val="1E293B"/>
                <w:sz w:val="18"/>
              </w:rPr>
              <w:t>Healthy: &gt; 15%. Superior to ROE for heavily debt-reliant firms.</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D/E</w:t>
            </w:r>
          </w:p>
        </w:tc>
        <w:tc>
          <w:tcPr>
            <w:tcW w:type="dxa" w:w="2520"/>
            <w:shd w:fill="FFFFFF"/>
            <w:tcMar>
              <w:top w:w="80" w:type="dxa"/>
              <w:bottom w:w="80" w:type="dxa"/>
              <w:left w:w="100" w:type="dxa"/>
              <w:right w:w="100" w:type="dxa"/>
            </w:tcMar>
          </w:tcPr>
          <w:p>
            <w:pPr>
              <w:spacing w:before="40" w:after="40" w:line="252" w:lineRule="auto"/>
            </w:pPr>
            <w:r>
              <w:rPr>
                <w:color w:val="1E293B"/>
                <w:sz w:val="18"/>
              </w:rPr>
              <w:t>Debt-to-Equity Ratio</w:t>
            </w:r>
          </w:p>
        </w:tc>
        <w:tc>
          <w:tcPr>
            <w:tcW w:type="dxa" w:w="2520"/>
            <w:shd w:fill="FFFFFF"/>
            <w:tcMar>
              <w:top w:w="80" w:type="dxa"/>
              <w:bottom w:w="80" w:type="dxa"/>
              <w:left w:w="100" w:type="dxa"/>
              <w:right w:w="100" w:type="dxa"/>
            </w:tcMar>
          </w:tcPr>
          <w:p>
            <w:pPr>
              <w:spacing w:before="40" w:after="40" w:line="252" w:lineRule="auto"/>
            </w:pPr>
            <w:r>
              <w:rPr>
                <w:color w:val="1E293B"/>
                <w:sz w:val="18"/>
              </w:rPr>
              <w:t>Total borrowings divided by shareholders' equity. Measures solvency and default risk.</w:t>
            </w:r>
          </w:p>
        </w:tc>
        <w:tc>
          <w:tcPr>
            <w:tcW w:type="dxa" w:w="2520"/>
            <w:shd w:fill="FFFFFF"/>
            <w:tcMar>
              <w:top w:w="80" w:type="dxa"/>
              <w:bottom w:w="80" w:type="dxa"/>
              <w:left w:w="100" w:type="dxa"/>
              <w:right w:w="100" w:type="dxa"/>
            </w:tcMar>
          </w:tcPr>
          <w:p>
            <w:pPr>
              <w:spacing w:before="40" w:after="40" w:line="252" w:lineRule="auto"/>
            </w:pPr>
            <w:r>
              <w:rPr>
                <w:color w:val="1E293B"/>
                <w:sz w:val="18"/>
              </w:rPr>
              <w:t>Safe: &lt; 0.5. Zero debt = Debt-free (e.g. TCS). Danger: &gt; 1.5 to 2.0.</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Beta (β)</w:t>
            </w:r>
          </w:p>
        </w:tc>
        <w:tc>
          <w:tcPr>
            <w:tcW w:type="dxa" w:w="2520"/>
            <w:shd w:fill="F8FAFC"/>
            <w:tcMar>
              <w:top w:w="80" w:type="dxa"/>
              <w:bottom w:w="80" w:type="dxa"/>
              <w:left w:w="100" w:type="dxa"/>
              <w:right w:w="100" w:type="dxa"/>
            </w:tcMar>
          </w:tcPr>
          <w:p>
            <w:pPr>
              <w:spacing w:before="40" w:after="40" w:line="252" w:lineRule="auto"/>
            </w:pPr>
            <w:r>
              <w:rPr>
                <w:color w:val="1E293B"/>
                <w:sz w:val="18"/>
              </w:rPr>
              <w:t>Beta Coefficient</w:t>
            </w:r>
          </w:p>
        </w:tc>
        <w:tc>
          <w:tcPr>
            <w:tcW w:type="dxa" w:w="2520"/>
            <w:shd w:fill="F8FAFC"/>
            <w:tcMar>
              <w:top w:w="80" w:type="dxa"/>
              <w:bottom w:w="80" w:type="dxa"/>
              <w:left w:w="100" w:type="dxa"/>
              <w:right w:w="100" w:type="dxa"/>
            </w:tcMar>
          </w:tcPr>
          <w:p>
            <w:pPr>
              <w:spacing w:before="40" w:after="40" w:line="252" w:lineRule="auto"/>
            </w:pPr>
            <w:r>
              <w:rPr>
                <w:color w:val="1E293B"/>
                <w:sz w:val="18"/>
              </w:rPr>
              <w:t>Measures price volatility relative to NIFTY 50 (market baseline β = 1.0).</w:t>
            </w:r>
          </w:p>
        </w:tc>
        <w:tc>
          <w:tcPr>
            <w:tcW w:type="dxa" w:w="2520"/>
            <w:shd w:fill="F8FAFC"/>
            <w:tcMar>
              <w:top w:w="80" w:type="dxa"/>
              <w:bottom w:w="80" w:type="dxa"/>
              <w:left w:w="100" w:type="dxa"/>
              <w:right w:w="100" w:type="dxa"/>
            </w:tcMar>
          </w:tcPr>
          <w:p>
            <w:pPr>
              <w:spacing w:before="40" w:after="40" w:line="252" w:lineRule="auto"/>
            </w:pPr>
            <w:r>
              <w:rPr>
                <w:color w:val="1E293B"/>
                <w:sz w:val="18"/>
              </w:rPr>
              <w:t>β &gt; 1.5 = Wild swings (high risk).</w:t>
              <w:br/>
              <w:t>β &lt; 0.8 = Defensive/steady (FMCG).</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Dividend Yield</w:t>
            </w:r>
          </w:p>
        </w:tc>
        <w:tc>
          <w:tcPr>
            <w:tcW w:type="dxa" w:w="2520"/>
            <w:shd w:fill="FFFFFF"/>
            <w:tcMar>
              <w:top w:w="80" w:type="dxa"/>
              <w:bottom w:w="80" w:type="dxa"/>
              <w:left w:w="100" w:type="dxa"/>
              <w:right w:w="100" w:type="dxa"/>
            </w:tcMar>
          </w:tcPr>
          <w:p>
            <w:pPr>
              <w:spacing w:before="40" w:after="40" w:line="252" w:lineRule="auto"/>
            </w:pPr>
            <w:r>
              <w:rPr>
                <w:color w:val="1E293B"/>
                <w:sz w:val="18"/>
              </w:rPr>
              <w:t>Dividend Yield</w:t>
            </w:r>
          </w:p>
        </w:tc>
        <w:tc>
          <w:tcPr>
            <w:tcW w:type="dxa" w:w="2520"/>
            <w:shd w:fill="FFFFFF"/>
            <w:tcMar>
              <w:top w:w="80" w:type="dxa"/>
              <w:bottom w:w="80" w:type="dxa"/>
              <w:left w:w="100" w:type="dxa"/>
              <w:right w:w="100" w:type="dxa"/>
            </w:tcMar>
          </w:tcPr>
          <w:p>
            <w:pPr>
              <w:spacing w:before="40" w:after="40" w:line="252" w:lineRule="auto"/>
            </w:pPr>
            <w:r>
              <w:rPr>
                <w:color w:val="1E293B"/>
                <w:sz w:val="18"/>
              </w:rPr>
              <w:t>Annual cash dividend paid per share as a percentage of current share price.</w:t>
            </w:r>
          </w:p>
        </w:tc>
        <w:tc>
          <w:tcPr>
            <w:tcW w:type="dxa" w:w="2520"/>
            <w:shd w:fill="FFFFFF"/>
            <w:tcMar>
              <w:top w:w="80" w:type="dxa"/>
              <w:bottom w:w="80" w:type="dxa"/>
              <w:left w:w="100" w:type="dxa"/>
              <w:right w:w="100" w:type="dxa"/>
            </w:tcMar>
          </w:tcPr>
          <w:p>
            <w:pPr>
              <w:spacing w:before="40" w:after="40" w:line="252" w:lineRule="auto"/>
            </w:pPr>
            <w:r>
              <w:rPr>
                <w:color w:val="1E293B"/>
                <w:sz w:val="18"/>
              </w:rPr>
              <w:t>High yield (&gt; 4-6%) gives passive cash. Growth firms reinvest profits (0-1%).</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RSI</w:t>
            </w:r>
          </w:p>
        </w:tc>
        <w:tc>
          <w:tcPr>
            <w:tcW w:type="dxa" w:w="2520"/>
            <w:shd w:fill="F8FAFC"/>
            <w:tcMar>
              <w:top w:w="80" w:type="dxa"/>
              <w:bottom w:w="80" w:type="dxa"/>
              <w:left w:w="100" w:type="dxa"/>
              <w:right w:w="100" w:type="dxa"/>
            </w:tcMar>
          </w:tcPr>
          <w:p>
            <w:pPr>
              <w:spacing w:before="40" w:after="40" w:line="252" w:lineRule="auto"/>
            </w:pPr>
            <w:r>
              <w:rPr>
                <w:color w:val="1E293B"/>
                <w:sz w:val="18"/>
              </w:rPr>
              <w:t>Relative Strength Index</w:t>
            </w:r>
          </w:p>
        </w:tc>
        <w:tc>
          <w:tcPr>
            <w:tcW w:type="dxa" w:w="2520"/>
            <w:shd w:fill="F8FAFC"/>
            <w:tcMar>
              <w:top w:w="80" w:type="dxa"/>
              <w:bottom w:w="80" w:type="dxa"/>
              <w:left w:w="100" w:type="dxa"/>
              <w:right w:w="100" w:type="dxa"/>
            </w:tcMar>
          </w:tcPr>
          <w:p>
            <w:pPr>
              <w:spacing w:before="40" w:after="40" w:line="252" w:lineRule="auto"/>
            </w:pPr>
            <w:r>
              <w:rPr>
                <w:color w:val="1E293B"/>
                <w:sz w:val="18"/>
              </w:rPr>
              <w:t>Momentum oscillator (0-100) measuring speed of recent price gains vs losses.</w:t>
            </w:r>
          </w:p>
        </w:tc>
        <w:tc>
          <w:tcPr>
            <w:tcW w:type="dxa" w:w="2520"/>
            <w:shd w:fill="F8FAFC"/>
            <w:tcMar>
              <w:top w:w="80" w:type="dxa"/>
              <w:bottom w:w="80" w:type="dxa"/>
              <w:left w:w="100" w:type="dxa"/>
              <w:right w:w="100" w:type="dxa"/>
            </w:tcMar>
          </w:tcPr>
          <w:p>
            <w:pPr>
              <w:spacing w:before="40" w:after="40" w:line="252" w:lineRule="auto"/>
            </w:pPr>
            <w:r>
              <w:rPr>
                <w:color w:val="1E293B"/>
                <w:sz w:val="18"/>
              </w:rPr>
              <w:t>RSI &gt; 70 = Overbought (correction likely).</w:t>
              <w:br/>
              <w:t>RSI &lt; 30 = Oversold (bounce likely).</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SMA / EMA</w:t>
            </w:r>
          </w:p>
        </w:tc>
        <w:tc>
          <w:tcPr>
            <w:tcW w:type="dxa" w:w="2520"/>
            <w:shd w:fill="FFFFFF"/>
            <w:tcMar>
              <w:top w:w="80" w:type="dxa"/>
              <w:bottom w:w="80" w:type="dxa"/>
              <w:left w:w="100" w:type="dxa"/>
              <w:right w:w="100" w:type="dxa"/>
            </w:tcMar>
          </w:tcPr>
          <w:p>
            <w:pPr>
              <w:spacing w:before="40" w:after="40" w:line="252" w:lineRule="auto"/>
            </w:pPr>
            <w:r>
              <w:rPr>
                <w:color w:val="1E293B"/>
                <w:sz w:val="18"/>
              </w:rPr>
              <w:t>Simple / Exponential Moving Average</w:t>
            </w:r>
          </w:p>
        </w:tc>
        <w:tc>
          <w:tcPr>
            <w:tcW w:type="dxa" w:w="2520"/>
            <w:shd w:fill="FFFFFF"/>
            <w:tcMar>
              <w:top w:w="80" w:type="dxa"/>
              <w:bottom w:w="80" w:type="dxa"/>
              <w:left w:w="100" w:type="dxa"/>
              <w:right w:w="100" w:type="dxa"/>
            </w:tcMar>
          </w:tcPr>
          <w:p>
            <w:pPr>
              <w:spacing w:before="40" w:after="40" w:line="252" w:lineRule="auto"/>
            </w:pPr>
            <w:r>
              <w:rPr>
                <w:color w:val="1E293B"/>
                <w:sz w:val="18"/>
              </w:rPr>
              <w:t>Average closing price over N days (20, 50, 200). Smooths daily noise.</w:t>
            </w:r>
          </w:p>
        </w:tc>
        <w:tc>
          <w:tcPr>
            <w:tcW w:type="dxa" w:w="2520"/>
            <w:shd w:fill="FFFFFF"/>
            <w:tcMar>
              <w:top w:w="80" w:type="dxa"/>
              <w:bottom w:w="80" w:type="dxa"/>
              <w:left w:w="100" w:type="dxa"/>
              <w:right w:w="100" w:type="dxa"/>
            </w:tcMar>
          </w:tcPr>
          <w:p>
            <w:pPr>
              <w:spacing w:before="40" w:after="40" w:line="252" w:lineRule="auto"/>
            </w:pPr>
            <w:r>
              <w:rPr>
                <w:color w:val="1E293B"/>
                <w:sz w:val="18"/>
              </w:rPr>
              <w:t>Price &gt; 200 SMA = Long-term Bull.</w:t>
              <w:br/>
              <w:t>Golden Cross: 50 SMA crosses above 200 SMA.</w:t>
            </w:r>
          </w:p>
        </w:tc>
      </w:tr>
      <w:tr>
        <w:tc>
          <w:tcPr>
            <w:tcW w:type="dxa" w:w="2520"/>
            <w:shd w:fill="F8FAFC"/>
            <w:tcMar>
              <w:top w:w="80" w:type="dxa"/>
              <w:bottom w:w="80" w:type="dxa"/>
              <w:left w:w="100" w:type="dxa"/>
              <w:right w:w="100" w:type="dxa"/>
            </w:tcMar>
          </w:tcPr>
          <w:p>
            <w:pPr>
              <w:spacing w:before="40" w:after="40" w:line="252" w:lineRule="auto"/>
            </w:pPr>
            <w:r>
              <w:rPr>
                <w:color w:val="1E293B"/>
                <w:sz w:val="18"/>
              </w:rPr>
              <w:t>MACD</w:t>
            </w:r>
          </w:p>
        </w:tc>
        <w:tc>
          <w:tcPr>
            <w:tcW w:type="dxa" w:w="2520"/>
            <w:shd w:fill="F8FAFC"/>
            <w:tcMar>
              <w:top w:w="80" w:type="dxa"/>
              <w:bottom w:w="80" w:type="dxa"/>
              <w:left w:w="100" w:type="dxa"/>
              <w:right w:w="100" w:type="dxa"/>
            </w:tcMar>
          </w:tcPr>
          <w:p>
            <w:pPr>
              <w:spacing w:before="40" w:after="40" w:line="252" w:lineRule="auto"/>
            </w:pPr>
            <w:r>
              <w:rPr>
                <w:color w:val="1E293B"/>
                <w:sz w:val="18"/>
              </w:rPr>
              <w:t>Moving Average Convergence Divergence</w:t>
            </w:r>
          </w:p>
        </w:tc>
        <w:tc>
          <w:tcPr>
            <w:tcW w:type="dxa" w:w="2520"/>
            <w:shd w:fill="F8FAFC"/>
            <w:tcMar>
              <w:top w:w="80" w:type="dxa"/>
              <w:bottom w:w="80" w:type="dxa"/>
              <w:left w:w="100" w:type="dxa"/>
              <w:right w:w="100" w:type="dxa"/>
            </w:tcMar>
          </w:tcPr>
          <w:p>
            <w:pPr>
              <w:spacing w:before="40" w:after="40" w:line="252" w:lineRule="auto"/>
            </w:pPr>
            <w:r>
              <w:rPr>
                <w:color w:val="1E293B"/>
                <w:sz w:val="18"/>
              </w:rPr>
              <w:t>Difference between 12 EMA and 26 EMA plotted against a 9-day signal line.</w:t>
            </w:r>
          </w:p>
        </w:tc>
        <w:tc>
          <w:tcPr>
            <w:tcW w:type="dxa" w:w="2520"/>
            <w:shd w:fill="F8FAFC"/>
            <w:tcMar>
              <w:top w:w="80" w:type="dxa"/>
              <w:bottom w:w="80" w:type="dxa"/>
              <w:left w:w="100" w:type="dxa"/>
              <w:right w:w="100" w:type="dxa"/>
            </w:tcMar>
          </w:tcPr>
          <w:p>
            <w:pPr>
              <w:spacing w:before="40" w:after="40" w:line="252" w:lineRule="auto"/>
            </w:pPr>
            <w:r>
              <w:rPr>
                <w:color w:val="1E293B"/>
                <w:sz w:val="18"/>
              </w:rPr>
              <w:t>MACD crossing above signal line confirms accelerating upward momentum.</w:t>
            </w:r>
          </w:p>
        </w:tc>
      </w:tr>
      <w:tr>
        <w:tc>
          <w:tcPr>
            <w:tcW w:type="dxa" w:w="2520"/>
            <w:shd w:fill="FFFFFF"/>
            <w:tcMar>
              <w:top w:w="80" w:type="dxa"/>
              <w:bottom w:w="80" w:type="dxa"/>
              <w:left w:w="100" w:type="dxa"/>
              <w:right w:w="100" w:type="dxa"/>
            </w:tcMar>
          </w:tcPr>
          <w:p>
            <w:pPr>
              <w:spacing w:before="40" w:after="40" w:line="252" w:lineRule="auto"/>
            </w:pPr>
            <w:r>
              <w:rPr>
                <w:color w:val="1E293B"/>
                <w:sz w:val="18"/>
              </w:rPr>
              <w:t>OHLC</w:t>
            </w:r>
          </w:p>
        </w:tc>
        <w:tc>
          <w:tcPr>
            <w:tcW w:type="dxa" w:w="2520"/>
            <w:shd w:fill="FFFFFF"/>
            <w:tcMar>
              <w:top w:w="80" w:type="dxa"/>
              <w:bottom w:w="80" w:type="dxa"/>
              <w:left w:w="100" w:type="dxa"/>
              <w:right w:w="100" w:type="dxa"/>
            </w:tcMar>
          </w:tcPr>
          <w:p>
            <w:pPr>
              <w:spacing w:before="40" w:after="40" w:line="252" w:lineRule="auto"/>
            </w:pPr>
            <w:r>
              <w:rPr>
                <w:color w:val="1E293B"/>
                <w:sz w:val="18"/>
              </w:rPr>
              <w:t>Open, High, Low, Close</w:t>
            </w:r>
          </w:p>
        </w:tc>
        <w:tc>
          <w:tcPr>
            <w:tcW w:type="dxa" w:w="2520"/>
            <w:shd w:fill="FFFFFF"/>
            <w:tcMar>
              <w:top w:w="80" w:type="dxa"/>
              <w:bottom w:w="80" w:type="dxa"/>
              <w:left w:w="100" w:type="dxa"/>
              <w:right w:w="100" w:type="dxa"/>
            </w:tcMar>
          </w:tcPr>
          <w:p>
            <w:pPr>
              <w:spacing w:before="40" w:after="40" w:line="252" w:lineRule="auto"/>
            </w:pPr>
            <w:r>
              <w:rPr>
                <w:color w:val="1E293B"/>
                <w:sz w:val="18"/>
              </w:rPr>
              <w:t>The 4 price points forming every candlestick. Real body = Open/Close; Wick = High/Low.</w:t>
            </w:r>
          </w:p>
        </w:tc>
        <w:tc>
          <w:tcPr>
            <w:tcW w:type="dxa" w:w="2520"/>
            <w:shd w:fill="FFFFFF"/>
            <w:tcMar>
              <w:top w:w="80" w:type="dxa"/>
              <w:bottom w:w="80" w:type="dxa"/>
              <w:left w:w="100" w:type="dxa"/>
              <w:right w:w="100" w:type="dxa"/>
            </w:tcMar>
          </w:tcPr>
          <w:p>
            <w:pPr>
              <w:spacing w:before="40" w:after="40" w:line="252" w:lineRule="auto"/>
            </w:pPr>
            <w:r>
              <w:rPr>
                <w:color w:val="1E293B"/>
                <w:sz w:val="18"/>
              </w:rPr>
              <w:t>Green: Close &gt; Open (Bullish).</w:t>
              <w:br/>
              <w:t>Red: Close &lt; Open (Bearish).</w:t>
            </w:r>
          </w:p>
        </w:tc>
      </w:tr>
    </w:tbl>
    <w:p>
      <w:pPr>
        <w:spacing w:after="240"/>
      </w:pPr>
    </w:p>
    <w:p>
      <w:pPr>
        <w:spacing w:before="360" w:after="120"/>
      </w:pPr>
      <w:r>
        <w:rPr>
          <w:rFonts w:ascii="Calibri" w:hAnsi="Calibri"/>
          <w:b/>
          <w:color w:val="0F4C81"/>
          <w:sz w:val="36"/>
        </w:rPr>
        <w:t>Chapter 3: Stock Screener Queries &amp; Investment Methodology</w:t>
      </w:r>
    </w:p>
    <w:p>
      <w:pPr>
        <w:spacing w:before="240" w:after="80"/>
      </w:pPr>
      <w:r>
        <w:rPr>
          <w:rFonts w:ascii="Calibri" w:hAnsi="Calibri"/>
          <w:b/>
          <w:color w:val="10B981"/>
          <w:sz w:val="28"/>
        </w:rPr>
        <w:t>3.1 Screener Query 1: Best Companies to Invest with ₹5,000</w:t>
      </w:r>
    </w:p>
    <w:p>
      <w:pPr>
        <w:spacing w:after="80" w:line="276" w:lineRule="auto"/>
      </w:pPr>
      <w:r>
        <w:rPr>
          <w:rFonts w:ascii="Calibri" w:hAnsi="Calibri"/>
          <w:color w:val="1E293B"/>
          <w:sz w:val="21"/>
        </w:rPr>
        <w:t>When an investor has only ₹5,000, they cannot buy luxury stocks like MRF (₹1.2 Lakh/share) or Page Industries (₹40,000/share). A common trap is buying penny stocks (₹5 or ₹10 junk companies) that carry high bankruptcy risk. The professional approach is filtering for debt-free, high-return mid/large caps priced under ₹2,500 so the user can buy multiple shares and diversify across 2 companies.</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Pr>
          <w:p>
            <w:pPr>
              <w:spacing w:after="40"/>
            </w:pPr>
            <w:r>
              <w:rPr>
                <w:rFonts w:ascii="Calibri" w:hAnsi="Calibri"/>
                <w:b/>
                <w:color w:val="0F4C81"/>
                <w:sz w:val="21"/>
              </w:rPr>
              <w:t>Screener.in Query: Quality Stocks Under ₹2,500 for a ₹5,000 Capital</w:t>
              <w:br/>
            </w:r>
            <w:r>
              <w:rPr>
                <w:rFonts w:ascii="Calibri" w:hAnsi="Calibri"/>
                <w:color w:val="1E293B"/>
                <w:sz w:val="20"/>
              </w:rPr>
              <w:t>Market Capitalization &gt; 10000 AND</w:t>
              <w:br/>
              <w:t>Current price &lt; 2500 AND</w:t>
              <w:br/>
              <w:t>Return on equity &gt; 15 AND</w:t>
              <w:br/>
              <w:t>Return on capital employed &gt; 15 AND</w:t>
              <w:br/>
              <w:t>Debt to equity &lt; 0.5 AND</w:t>
              <w:br/>
              <w:t>Sales growth 3Years &gt; 10 AND</w:t>
              <w:br/>
              <w:t>Profit growth 3Years &gt; 12 AND</w:t>
              <w:br/>
              <w:t>Promoter holding &gt; 45 AND</w:t>
              <w:br/>
              <w:t>Pledged percentage &lt; 5</w:t>
            </w:r>
          </w:p>
        </w:tc>
      </w:tr>
    </w:tbl>
    <w:p>
      <w:pPr>
        <w:spacing w:after="80"/>
      </w:pPr>
    </w:p>
    <w:p>
      <w:pPr>
        <w:spacing w:after="80" w:line="276" w:lineRule="auto"/>
      </w:pPr>
      <w:r>
        <w:rPr>
          <w:rFonts w:ascii="Calibri" w:hAnsi="Calibri"/>
          <w:color w:val="1E293B"/>
          <w:sz w:val="21"/>
        </w:rPr>
        <w:t>Why this works: Market Cap &gt; ₹10,000 Cr guarantees established reputation. Price &lt; ₹2,500 permits buying 2-3 shares. ROE &gt; 15% and ROCE &gt; 15% ensure proven profitability. D/E &lt; 0.5 guarantees zero debt worries. Promoter holding &gt; 45% and Pledged &lt; 5% guarantees owners have true skin in the game. Real-world matches: Bharat Electronics (~₹290), Tata Consumer (~₹1,100), Infosys (~₹1,750).</w:t>
      </w:r>
    </w:p>
    <w:p>
      <w:pPr>
        <w:spacing w:before="240" w:after="80"/>
      </w:pPr>
      <w:r>
        <w:rPr>
          <w:rFonts w:ascii="Calibri" w:hAnsi="Calibri"/>
          <w:b/>
          <w:color w:val="10B981"/>
          <w:sz w:val="28"/>
        </w:rPr>
        <w:t>3.2 Screener Query 2: High EPS &amp; High ROE (Quality Compounders)</w:t>
      </w:r>
    </w:p>
    <w:p>
      <w:pPr>
        <w:spacing w:after="80" w:line="276" w:lineRule="auto"/>
      </w:pPr>
      <w:r>
        <w:rPr>
          <w:rFonts w:ascii="Calibri" w:hAnsi="Calibri"/>
          <w:color w:val="1E293B"/>
          <w:sz w:val="21"/>
        </w:rPr>
        <w:t>Quality Compounders are companies that steadily compound wealth over 3 to 5 years because they generate massive cash profit per share (High EPS) and reinvest capital at exceptional rates of return (High ROE) while avoiding heavy bank debt.</w:t>
      </w:r>
    </w:p>
    <w:tbl>
      <w:tblPr>
        <w:tblW w:type="auto" w:w="0"/>
        <w:jc w:val="center"/>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Pr>
          <w:p>
            <w:pPr>
              <w:spacing w:after="40"/>
            </w:pPr>
            <w:r>
              <w:rPr>
                <w:rFonts w:ascii="Calibri" w:hAnsi="Calibri"/>
                <w:b/>
                <w:color w:val="0F4C81"/>
                <w:sz w:val="21"/>
              </w:rPr>
              <w:t>Screener.in Query: High EPS &amp; High ROE Quality Compounders</w:t>
              <w:br/>
            </w:r>
            <w:r>
              <w:rPr>
                <w:rFonts w:ascii="Calibri" w:hAnsi="Calibri"/>
                <w:color w:val="1E293B"/>
                <w:sz w:val="20"/>
              </w:rPr>
              <w:t>Return on equity &gt; 20 AND</w:t>
              <w:br/>
              <w:t>Return on equity 3Years &gt; 20 AND</w:t>
              <w:br/>
              <w:t>EPS &gt; 25 AND</w:t>
              <w:br/>
              <w:t>EPS growth 3Years &gt; 15 AND</w:t>
              <w:br/>
              <w:t>Price to Earning &lt; Industry PE AND</w:t>
              <w:br/>
              <w:t>Debt to equity &lt; 0.6 AND</w:t>
              <w:br/>
              <w:t>Interest Coverage &gt; 4 AND</w:t>
              <w:br/>
              <w:t>Cash from operations last year &gt; 0</w:t>
            </w:r>
          </w:p>
        </w:tc>
      </w:tr>
    </w:tbl>
    <w:p>
      <w:pPr>
        <w:spacing w:after="80"/>
      </w:pPr>
    </w:p>
    <w:p>
      <w:pPr>
        <w:spacing w:after="80" w:line="276" w:lineRule="auto"/>
      </w:pPr>
      <w:r>
        <w:rPr>
          <w:rFonts w:ascii="Calibri" w:hAnsi="Calibri"/>
          <w:color w:val="1E293B"/>
          <w:sz w:val="21"/>
        </w:rPr>
        <w:t>Why this works: Multi-year ROE &gt; 20% eliminates one-time lucky flukes. EPS growth &gt; 15% beats inflation. Price to Earning &lt; Industry PE ensures you do not overpay. Cash from operations &gt; 0 guarantees paper accounting profits convert into real bank cash. Real-world matches: TCS, Polycab, Titan Company.</w:t>
      </w:r>
    </w:p>
    <w:p>
      <w:pPr>
        <w:spacing w:before="360" w:after="120"/>
      </w:pPr>
      <w:r>
        <w:rPr>
          <w:rFonts w:ascii="Calibri" w:hAnsi="Calibri"/>
          <w:b/>
          <w:color w:val="0F4C81"/>
          <w:sz w:val="36"/>
        </w:rPr>
        <w:t>Chapter 4: Technical Architecture &amp; Implementation</w:t>
      </w:r>
    </w:p>
    <w:p>
      <w:pPr>
        <w:spacing w:before="240" w:after="80"/>
      </w:pPr>
      <w:r>
        <w:rPr>
          <w:rFonts w:ascii="Calibri" w:hAnsi="Calibri"/>
          <w:b/>
          <w:color w:val="10B981"/>
          <w:sz w:val="28"/>
        </w:rPr>
        <w:t>4.1 System Overview &amp; 3-Tier Architecture</w:t>
      </w:r>
    </w:p>
    <w:p>
      <w:pPr>
        <w:spacing w:after="80" w:line="276" w:lineRule="auto"/>
      </w:pPr>
      <w:r>
        <w:rPr>
          <w:rFonts w:ascii="Calibri" w:hAnsi="Calibri"/>
          <w:color w:val="1E293B"/>
          <w:sz w:val="21"/>
        </w:rPr>
        <w:t>The platform is architected into three independent, loosely-coupled subsystems: a React Native mobile client, a Node.js/Express API and auth gateway, a MongoDB Atlas cloud database, and an auxiliary Python ML service.</w:t>
      </w:r>
    </w:p>
    <w:p>
      <w:pPr>
        <w:spacing w:after="80" w:line="276" w:lineRule="auto"/>
      </w:pPr>
      <w:r>
        <w:rPr>
          <w:rFonts w:ascii="Calibri" w:hAnsi="Calibri"/>
          <w:b/>
          <w:color w:val="1E293B"/>
          <w:sz w:val="21"/>
        </w:rPr>
        <w:t xml:space="preserve">Frontend: </w:t>
      </w:r>
      <w:r>
        <w:rPr>
          <w:rFonts w:ascii="Calibri" w:hAnsi="Calibri"/>
          <w:color w:val="1E293B"/>
          <w:sz w:val="21"/>
        </w:rPr>
        <w:t>React Native with Expo SDK 52, Expo Router v4 (file-based navigation), React Native Animated, Reanimated 3, and AsyncStorage for local caching.</w:t>
      </w:r>
    </w:p>
    <w:p>
      <w:pPr>
        <w:spacing w:after="80" w:line="276" w:lineRule="auto"/>
      </w:pPr>
      <w:r>
        <w:rPr>
          <w:rFonts w:ascii="Calibri" w:hAnsi="Calibri"/>
          <w:b/>
          <w:color w:val="1E293B"/>
          <w:sz w:val="21"/>
        </w:rPr>
        <w:t xml:space="preserve">Backend: </w:t>
      </w:r>
      <w:r>
        <w:rPr>
          <w:rFonts w:ascii="Calibri" w:hAnsi="Calibri"/>
          <w:color w:val="1E293B"/>
          <w:sz w:val="21"/>
        </w:rPr>
        <w:t>Node.js and Express.js REST API with Passport.js local authentication, express-rate-limit, and MongoStore session persistence.</w:t>
      </w:r>
    </w:p>
    <w:p>
      <w:pPr>
        <w:spacing w:after="80" w:line="276" w:lineRule="auto"/>
      </w:pPr>
      <w:r>
        <w:rPr>
          <w:rFonts w:ascii="Calibri" w:hAnsi="Calibri"/>
          <w:b/>
          <w:color w:val="1E293B"/>
          <w:sz w:val="21"/>
        </w:rPr>
        <w:t xml:space="preserve">Database: </w:t>
      </w:r>
      <w:r>
        <w:rPr>
          <w:rFonts w:ascii="Calibri" w:hAnsi="Calibri"/>
          <w:color w:val="1E293B"/>
          <w:sz w:val="21"/>
        </w:rPr>
        <w:t>MongoDB Atlas cloud cluster (M0 replica set) with compound indexes for instant conversation lookups and leaderboard sorting.</w:t>
      </w:r>
    </w:p>
    <w:p>
      <w:pPr>
        <w:spacing w:after="80" w:line="276" w:lineRule="auto"/>
      </w:pPr>
      <w:r>
        <w:rPr>
          <w:rFonts w:ascii="Calibri" w:hAnsi="Calibri"/>
          <w:b/>
          <w:color w:val="1E293B"/>
          <w:sz w:val="21"/>
        </w:rPr>
        <w:t xml:space="preserve">Machine Learning: </w:t>
      </w:r>
      <w:r>
        <w:rPr>
          <w:rFonts w:ascii="Calibri" w:hAnsi="Calibri"/>
          <w:color w:val="1E293B"/>
          <w:sz w:val="21"/>
        </w:rPr>
        <w:t>Python 3.13 microservice utilizing NLP sentiment scoring from live financial news headlines merged with technical RSI and moving average signals.</w:t>
      </w:r>
    </w:p>
    <w:p>
      <w:pPr>
        <w:spacing w:after="80" w:line="276" w:lineRule="auto"/>
      </w:pPr>
      <w:r>
        <w:rPr>
          <w:rFonts w:ascii="Calibri" w:hAnsi="Calibri"/>
          <w:b/>
          <w:color w:val="1E293B"/>
          <w:sz w:val="21"/>
        </w:rPr>
        <w:t xml:space="preserve">Cloud Infrastructure: </w:t>
      </w:r>
      <w:r>
        <w:rPr>
          <w:rFonts w:ascii="Calibri" w:hAnsi="Calibri"/>
          <w:color w:val="1E293B"/>
          <w:sz w:val="21"/>
        </w:rPr>
        <w:t>Render.com web service (Node backend), MongoDB Atlas (Cloud DB), Cloudflare (CDN/TLS), and Expo Application Services (EAS Update for Over-The-Air deployment).</w:t>
      </w:r>
    </w:p>
    <w:p>
      <w:pPr>
        <w:spacing w:before="240" w:after="80"/>
      </w:pPr>
      <w:r>
        <w:rPr>
          <w:rFonts w:ascii="Calibri" w:hAnsi="Calibri"/>
          <w:b/>
          <w:color w:val="10B981"/>
          <w:sz w:val="28"/>
        </w:rPr>
        <w:t>4.2 How the App Was Made Completely Online &amp; Cloud-Native</w:t>
      </w:r>
    </w:p>
    <w:p>
      <w:pPr>
        <w:spacing w:after="80" w:line="276" w:lineRule="auto"/>
      </w:pPr>
      <w:r>
        <w:rPr>
          <w:rFonts w:ascii="Calibri" w:hAnsi="Calibri"/>
          <w:color w:val="1E293B"/>
          <w:sz w:val="21"/>
        </w:rPr>
        <w:t>1. Continuous Cloud Backend on Render.com (https://paper-trade-node.onrender.com). All endpoints (/api/auth, /api/trade, /api/social, /api/chat) are accessible over HTTPS worldwide without local tunnels.</w:t>
      </w:r>
    </w:p>
    <w:p>
      <w:pPr>
        <w:spacing w:after="80" w:line="276" w:lineRule="auto"/>
      </w:pPr>
      <w:r>
        <w:rPr>
          <w:rFonts w:ascii="Calibri" w:hAnsi="Calibri"/>
          <w:color w:val="1E293B"/>
          <w:sz w:val="21"/>
        </w:rPr>
        <w:t>2. Multi-Region MongoDB Atlas Replica Sets. User accounts, balances, portfolios, and chats synchronize across physical devices seamlessly.</w:t>
      </w:r>
    </w:p>
    <w:p>
      <w:pPr>
        <w:spacing w:after="80" w:line="276" w:lineRule="auto"/>
      </w:pPr>
      <w:r>
        <w:rPr>
          <w:rFonts w:ascii="Calibri" w:hAnsi="Calibri"/>
          <w:color w:val="1E293B"/>
          <w:sz w:val="21"/>
        </w:rPr>
        <w:t>3. Over-The-Air (OTA) Continuous Delivery via EAS Update. When JavaScript/React Native code is modified, we run 'npx eas-cli update --branch preview'. Metro Bundler compiles Hermes bytecode and pushes it to Expo's global CDN. When a user opens their installed APK, the app downloads the update in the background and applies it without requiring re-compilation or manual APK downloads.</w:t>
      </w:r>
    </w:p>
    <w:p>
      <w:pPr>
        <w:spacing w:after="80" w:line="276" w:lineRule="auto"/>
      </w:pPr>
      <w:r>
        <w:rPr>
          <w:rFonts w:ascii="Calibri" w:hAnsi="Calibri"/>
          <w:color w:val="1E293B"/>
          <w:sz w:val="21"/>
        </w:rPr>
        <w:t>4. Mobile Session Header Bridge (src/config/api.ts). Native mobile apps on Android and iOS often strip session cookies due to cross-origin sandboxing. We implemented a hybrid bridge passing validated 'x-user-id' headers. The server verifies this fallback against MongoDB while isolating guest sessions via 'x-is-guest: true'.</w:t>
      </w:r>
    </w:p>
    <w:p>
      <w:pPr>
        <w:spacing w:before="360" w:after="120"/>
      </w:pPr>
      <w:r>
        <w:rPr>
          <w:rFonts w:ascii="Calibri" w:hAnsi="Calibri"/>
          <w:b/>
          <w:color w:val="0F4C81"/>
          <w:sz w:val="36"/>
        </w:rPr>
        <w:t>Chapter 5: Mentor Defense Q&amp;A Matrix</w:t>
      </w:r>
    </w:p>
    <w:p>
      <w:pPr>
        <w:spacing w:after="80" w:line="276" w:lineRule="auto"/>
      </w:pPr>
      <w:r>
        <w:rPr>
          <w:rFonts w:ascii="Calibri" w:hAnsi="Calibri"/>
          <w:color w:val="1E293B"/>
          <w:sz w:val="21"/>
        </w:rPr>
        <w:t>Exact answers to the 15 toughest questions your mentor or evaluator can ask during your final presentation:</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 What is the primary difference between investing and trading?</w:t>
              <w:br/>
            </w:r>
            <w:r>
              <w:rPr>
                <w:rFonts w:ascii="Calibri" w:hAnsi="Calibri"/>
                <w:color w:val="1E293B"/>
                <w:sz w:val="20"/>
              </w:rPr>
              <w:t>Investing is focused on multi-year wealth accumulation based on fundamental financial statements (ROE, debt, management moat, earnings growth). Trading focuses on short-term price momentum (intraday to weeks) using technical chart patterns, volume confirmation, and indicators like RSI and moving averages.</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Q2: Why does your app give ₹1,00,000 virtual cash instead of having users connect real bank accounts?</w:t>
              <w:br/>
            </w:r>
            <w:r>
              <w:rPr>
                <w:rFonts w:ascii="Calibri" w:hAnsi="Calibri"/>
                <w:color w:val="1E293B"/>
                <w:sz w:val="20"/>
              </w:rPr>
              <w:t>Over 90% of retail traders lose capital according to SEBI due to lack of simulated practice and emotional panic. Our platform provides ₹1,00,000 in virtual paper capital to let users practice position sizing, test strategies, and make mistakes in real-time market conditions with zero financial risk.</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Q3: How do you handle real-time stock prices without paying lakhs for direct NSE exchange feeds?</w:t>
              <w:br/>
            </w:r>
            <w:r>
              <w:rPr>
                <w:rFonts w:ascii="Calibri" w:hAnsi="Calibri"/>
                <w:color w:val="1E293B"/>
                <w:sz w:val="20"/>
              </w:rPr>
              <w:t>We integrate high-availability financial market data APIs (Yahoo Finance and Finnhub) coupled with an in-memory caching layer. Frequent user requests are cached with a short TTL to respect API rate limits while serving live OHLC candle data, percentage gains, and volumes to mobile screens.</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Q4: If a user taps 'Buy' 5 times in rapid succession, how do you prevent double-spending or negative balances?</w:t>
              <w:br/>
            </w:r>
            <w:r>
              <w:rPr>
                <w:rFonts w:ascii="Calibri" w:hAnsi="Calibri"/>
                <w:color w:val="1E293B"/>
                <w:sz w:val="20"/>
              </w:rPr>
              <w:t>Our trade execution controller uses atomic MongoDB operations. Balance deductions and portfolio additions execute using atomic '$inc' and conditional checks: balance: { $gte: requiredAmount }. If multiple requests arrive concurrently, subsequent operations fail atomically at the database engine level, preventing race conditions without requiring distributed locks.</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Q5: Why did you choose MongoDB instead of a relational SQL database like PostgreSQL?</w:t>
              <w:br/>
            </w:r>
            <w:r>
              <w:rPr>
                <w:rFonts w:ascii="Calibri" w:hAnsi="Calibri"/>
                <w:color w:val="1E293B"/>
                <w:sz w:val="20"/>
              </w:rPr>
              <w:t>MongoDB with Mongoose provides high schema flexibility for semi-structured data like personalized learning paths, dynamic candlestick puzzle options, and nested forum comments with tagging. For financial safety, we enforce strict Mongoose validation schemas and atomic multi-document transactions where balance updates and trade records execute atomically.</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Q6: What is P/E Ratio, and why is a stock with P/E = 100 considered risky?</w:t>
              <w:br/>
            </w:r>
            <w:r>
              <w:rPr>
                <w:rFonts w:ascii="Calibri" w:hAnsi="Calibri"/>
                <w:color w:val="1E293B"/>
                <w:sz w:val="20"/>
              </w:rPr>
              <w:t>Price-to-Earnings measures how many rupees investors pay for ₹1 of annual profit. A P/E of 100 means investors have priced in extreme future growth. If the company reports even a minor 5% drop in quarterly profit, disappointed investors trigger a panic sell-off, causing the stock to crash.</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Q7: What does RSI do in your app, and what do levels 70 and 30 represent?</w:t>
              <w:br/>
            </w:r>
            <w:r>
              <w:rPr>
                <w:rFonts w:ascii="Calibri" w:hAnsi="Calibri"/>
                <w:color w:val="1E293B"/>
                <w:sz w:val="20"/>
              </w:rPr>
              <w:t>RSI (Relative Strength Index) oscillates between 0 and 100 over a 14-period lookback. RSI &gt; 70 denotes an Overbought condition where buying pressure is exhausted and a downward correction is likely. RSI &lt; 30 denotes an Oversold condition where panic selling is exhausted and an upward bounce is probable.</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Q8: What is the difference between a Market Order and a Limit Order in your trade execution engine?</w:t>
              <w:br/>
            </w:r>
            <w:r>
              <w:rPr>
                <w:rFonts w:ascii="Calibri" w:hAnsi="Calibri"/>
                <w:color w:val="1E293B"/>
                <w:sz w:val="20"/>
              </w:rPr>
              <w:t>A Market Order prioritizes immediate execution speed, filling at the current Ask price. A Limit Order prioritizes execution price: the user designates an exact target price, and the trade remains pending until the market price reaches that threshold or better.</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Q9: What is the purpose of the Candlestick Mystery Puzzles in your app?</w:t>
              <w:br/>
            </w:r>
            <w:r>
              <w:rPr>
                <w:rFonts w:ascii="Calibri" w:hAnsi="Calibri"/>
                <w:color w:val="1E293B"/>
                <w:sz w:val="20"/>
              </w:rPr>
              <w:t>Puzzles train users in chart pattern recognition without bias. Real historical candlestick sequences (e.g., Hammer, Shooting Star, Bullish Engulfing) are displayed with the ticker name hidden. Users analyze price action to forecast the breakout direction, after which our Pro Insights engine unlocks the institutional buying/selling psychology.</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Q10: Why did you implement 1-on-1 direct chat using HTTP polling instead of continuous WebSockets on Render?</w:t>
              <w:br/>
            </w:r>
            <w:r>
              <w:rPr>
                <w:rFonts w:ascii="Calibri" w:hAnsi="Calibri"/>
                <w:color w:val="1E293B"/>
                <w:sz w:val="20"/>
              </w:rPr>
              <w:t>Render's free-tier reverse proxies automatically sever idle WebSocket connections and consume persistent socket file descriptors. We designed an optimized HTTP polling architecture with exponential backoff and localized AsyncStorage caching. Messages appear immediately via client-side optimistic updates, then sync in the background.</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Q11: How do you prevent guest users from accessing authenticated social features or spoofing another user's ID?</w:t>
              <w:br/>
            </w:r>
            <w:r>
              <w:rPr>
                <w:rFonts w:ascii="Calibri" w:hAnsi="Calibri"/>
                <w:color w:val="1E293B"/>
                <w:sz w:val="20"/>
              </w:rPr>
              <w:t>We implement the Guest Shield: whenever a user runs in guest mode, the mobile client attaches 'x-is-guest: true'. Our backend middleware immediately nullifies 'req.user', preventing guests from adding friends, chatting, or submitting leaderboard scores. Valid user IDs are cross-verified against active MongoDB sessions.</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Q12: What is your Over-The-Air (OTA) update workflow? How do users receive updates without downloading new APKs?</w:t>
              <w:br/>
            </w:r>
            <w:r>
              <w:rPr>
                <w:rFonts w:ascii="Calibri" w:hAnsi="Calibri"/>
                <w:color w:val="1E293B"/>
                <w:sz w:val="20"/>
              </w:rPr>
              <w:t>Using Expo EAS Update ('npx eas-cli update --branch preview'), our JavaScript and asset bundles are compiled into Hermes bytecode and uploaded to Expo's CDN. When a user launches their installed app, the Expo runtime queries the manifest, downloads the new JS bundle in the background, and seamlessly applies it on next launch.</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Q13: What is a Golden Cross and Death Cross in technical analysis?</w:t>
              <w:br/>
            </w:r>
            <w:r>
              <w:rPr>
                <w:rFonts w:ascii="Calibri" w:hAnsi="Calibri"/>
                <w:color w:val="1E293B"/>
                <w:sz w:val="20"/>
              </w:rPr>
              <w:t>A Golden Cross occurs when the short-term 50-day moving average crosses above the long-term 200-day moving average, signaling long-term bullish upward momentum. A Death Cross occurs when the 50-day drops below the 200-day, signaling long-term bearish downward momentum.</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Q14: What is the difference between Realized and Unrealized Profit &amp; Loss (P&amp;L)?</w:t>
              <w:br/>
            </w:r>
            <w:r>
              <w:rPr>
                <w:rFonts w:ascii="Calibri" w:hAnsi="Calibri"/>
                <w:color w:val="1E293B"/>
                <w:sz w:val="20"/>
              </w:rPr>
              <w:t>Unrealized P&amp;L is floating 'paper profit' on active open positions calculated as (Current LTP - Average Buy Price) × Quantity. Realized P&amp;L is locked-in profit or loss once an exit order is executed, permanently updating the user's settled cash balance.</w:t>
            </w:r>
          </w:p>
        </w:tc>
      </w:tr>
    </w:tbl>
    <w:p>
      <w:pPr>
        <w:spacing w:after="80"/>
      </w:pP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Pr>
          <w:p>
            <w:pPr>
              <w:spacing w:after="40"/>
            </w:pPr>
            <w:r>
              <w:rPr>
                <w:rFonts w:ascii="Calibri" w:hAnsi="Calibri"/>
                <w:b/>
                <w:color w:val="0F4C81"/>
                <w:sz w:val="21"/>
              </w:rPr>
              <w:t>Q15: How does your Python ML recommender assist traders?</w:t>
              <w:br/>
            </w:r>
            <w:r>
              <w:rPr>
                <w:rFonts w:ascii="Calibri" w:hAnsi="Calibri"/>
                <w:color w:val="1E293B"/>
                <w:sz w:val="20"/>
              </w:rPr>
              <w:t>The Python service analyzes financial news headlines using Natural Language Processing (NLP) sentiment scoring and combines it with mathematical indicators like RSI and Beta volatility. It acts as an educational co-pilot, generating recommendations like 'Strong Buy' or 'Accumulate' with clear fundamental and technical rationales.</w:t>
            </w:r>
          </w:p>
        </w:tc>
      </w:tr>
    </w:tbl>
    <w:p>
      <w:pPr>
        <w:spacing w:after="80"/>
      </w:pPr>
    </w:p>
    <w:p>
      <w:pPr>
        <w:spacing w:before="360" w:after="120"/>
      </w:pPr>
      <w:r>
        <w:rPr>
          <w:rFonts w:ascii="Calibri" w:hAnsi="Calibri"/>
          <w:b/>
          <w:color w:val="0F4C81"/>
          <w:sz w:val="36"/>
        </w:rPr>
        <w:t>Chapter 6: Evaluator Curveballs &amp; Trap Questions</w:t>
      </w:r>
    </w:p>
    <w:p>
      <w:pPr>
        <w:spacing w:after="80" w:line="276" w:lineRule="auto"/>
      </w:pPr>
      <w:r>
        <w:rPr>
          <w:rFonts w:ascii="Calibri" w:hAnsi="Calibri"/>
          <w:color w:val="1E293B"/>
          <w:sz w:val="21"/>
        </w:rPr>
        <w:t>Professors and evaluators frequently ask edge-case questions to test whether you understand real-world market boundaries and deliberate system design choices. Here are the 8 tough curveballs with bulletproof answers:</w:t>
      </w: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Q1: Does your app have Government Bonds (G-Secs, T-Bills) or Fixed Income securities?</w:t>
              <w:br/>
            </w:r>
            <w:r>
              <w:rPr>
                <w:rFonts w:ascii="Calibri" w:hAnsi="Calibri"/>
                <w:color w:val="1E293B"/>
                <w:sz w:val="20"/>
              </w:rPr>
              <w:t>Answer: No mam, our application deliberately focuses on Equities (Stocks) traded on secondary markets. Government Bonds (G-Secs and Treasury Bills) are sovereign debt instruments held primarily by commercial banks, pension funds, and insurance companies for predictable, low-volatility fixed coupon yields (e.g. 7.1% over 10 years). Paper trading platforms are engineered specifically to train retail beginners in dynamic price discovery, order book liquidity, candlestick technicals, and volatility management in equity markets. However, in our Phase 2 roadmap, we plan to incorporate the 10-year G-Sec yield as the benchmark Risk-Free Rate (Rf) to compute each user's Sharpe Ratio ((Rp - Rf) / Sigma) to assess whether their portfolio return is driven by genuine skill or reckless risk-taking.</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Q2: Does your app have IPOs, and how would you implement IPO allotment?</w:t>
              <w:br/>
            </w:r>
            <w:r>
              <w:rPr>
                <w:rFonts w:ascii="Calibri" w:hAnsi="Calibri"/>
                <w:color w:val="1E293B"/>
                <w:sz w:val="20"/>
              </w:rPr>
              <w:t>Answer: In real stock markets, IPOs belong to the Primary Market, where investors do not simply click 'Buy' and get shares. Instead, investors bid via ASBA (Application Supported by Blocked Amount). Under SEBI statutory regulations, whenever a retail IPO quota is oversubscribed (e.g. 40x demand), shares are allotted via a Computerized Lottery System (draw of lots). Each valid applicant gets an equal lottery probability of 1 / Oversubscription Ratio (e.g. 1 / 40 = 2.5% chance). Over 97% of applicants receive zero shares and their funds are unblocked. In our simulation architecture, an IPO module would implement a Probabilistic Monte Carlo Allotment Engine: the user's cash is placed in an escrow/blocked state, and upon allotment date, a pseudo-random draw determines whether 1 lot is credited or cash is refunded.</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Q3: Wouldn't users make infinite money by just repeatedly simulating IPO allotments and flipping on listing day?</w:t>
              <w:br/>
            </w:r>
            <w:r>
              <w:rPr>
                <w:rFonts w:ascii="Calibri" w:hAnsi="Calibri"/>
                <w:color w:val="1E293B"/>
                <w:sz w:val="20"/>
              </w:rPr>
              <w:t>Answer: This is a common misconception! Real-world data proves that IPOs are NOT guaranteed money-printing machines for three reasons: First, in hyped IPOs with massive listing gains (e.g. Tata Tech, Bajaj Housing), allotment probability is under 2-3%, so users rarely win shares. Second, many heavily hyped IPOs list at severe losses—Paytm plunged -27% on its listing day, LIC dropped -8%, and Delhivery and Mamaearth dropped significantly. A user blindly bidding on every IPO would suffer severe capital drawdowns on bad issues. Third, in our app, bidding blocks capital for 4-5 simulated days, imposing opportunity costs that prevent users from deploying those funds into profitable secondary market swing trades.</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Q4: Can two friends collude to manipulate the leaderboard by trading with each other? (Wash Trading)</w:t>
              <w:br/>
            </w:r>
            <w:r>
              <w:rPr>
                <w:rFonts w:ascii="Calibri" w:hAnsi="Calibri"/>
                <w:color w:val="1E293B"/>
                <w:sz w:val="20"/>
              </w:rPr>
              <w:t>Answer: Absolutely not, mam! Our app does NOT operate an internal, closed-loop peer-to-peer matching engine where User A can sell directly to User B at an arbitrary manipulated price. All orders in our simulator execute strictly against real-time external exchange feeds (live LTP, Bid, and Ask from NSE/BSE via Yahoo/Finnhub). A user cannot choose their counterparty or dictate a fake price; every transaction is strictly pegged to verified national market prices, completely preventing wash trading, collusion, and fake leaderboard pumping.</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Q5: What happens when a stock hits its Lower Circuit or Upper Circuit? Can a user still sell or buy?</w:t>
              <w:br/>
            </w:r>
            <w:r>
              <w:rPr>
                <w:rFonts w:ascii="Calibri" w:hAnsi="Calibri"/>
                <w:color w:val="1E293B"/>
                <w:sz w:val="20"/>
              </w:rPr>
              <w:t>Answer: In real markets, SEBI enforces price bands (Circuit Breakers of 2%, 5%, 10%, or 20%) to curb irrational panic. When a stock hits its Lower Circuit, there are 100% sellers and 0 buyers in the order book—meaning no one can sell, and your order gets trapped in a massive queue! In our simulation engine, we check whether the stock's current price change has reached its statutory circuit limit. If locked at lower circuit, our trade engine rejects the sell order with a clear notification: 'Order Rejected: Stock locked in Lower Circuit with zero market liquidity', teaching beginners the critical risk of getting trapped in illiquid momentum stocks.</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Q6: Does your app simulate Brokerage, STT (Securities Transaction Tax), GST, and Exchange fees?</w:t>
              <w:br/>
            </w:r>
            <w:r>
              <w:rPr>
                <w:rFonts w:ascii="Calibri" w:hAnsi="Calibri"/>
                <w:color w:val="1E293B"/>
                <w:sz w:val="20"/>
              </w:rPr>
              <w:t>Answer: Yes. In real trading, retail day-traders often make 20 trades a day and believe they broke even, but their broker and the government deduct ₹1,500 to ₹2,000 in STT, GST, and turnover charges, wiping out their profits. In our transaction engine, we model standard transaction friction (0.1% per turnover) covering STT, exchange turnover fees, and SEBI regulatory charges. This prevents users from developing the dangerous habit of hyperactive overtrading.</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Q7: Why does your app not support Options and Futures (F&amp;O / Derivatives)?</w:t>
              <w:br/>
            </w:r>
            <w:r>
              <w:rPr>
                <w:rFonts w:ascii="Calibri" w:hAnsi="Calibri"/>
                <w:color w:val="1E293B"/>
                <w:sz w:val="20"/>
              </w:rPr>
              <w:t>Answer: According to official SEBI analytical studies published in 2023 and 2024, an astonishing 93% of individual retail traders in equity F&amp;O suffer net financial losses, with an average loss exceeding ₹1.25 Lakh per trader! Derivatives involve high financial leverage and complex non-linear mathematical decay (Option Greeks: Delta, Gamma, Theta time decay, and Implied Volatility). Allowing beginners to trade 50x leverage options before they even understand support, resistance, and candlestick wicks would be educationally irresponsible. Our application deliberately enforces equity cash simulation as the foundational prerequisite before advanced derivatives are introduced in future modules.</w:t>
            </w:r>
          </w:p>
        </w:tc>
      </w:tr>
    </w:tbl>
    <w:p>
      <w:pPr>
        <w:spacing w:after="80"/>
      </w:pPr>
    </w:p>
    <w:tbl>
      <w:tblPr>
        <w:tblW w:type="auto" w:w="0"/>
        <w:jc w:val="center"/>
        <w:tblLook w:firstColumn="1" w:firstRow="1" w:lastColumn="0" w:lastRow="0" w:noHBand="0" w:noVBand="1" w:val="04A0"/>
      </w:tblPr>
      <w:tblGrid>
        <w:gridCol w:w="10080"/>
      </w:tblGrid>
      <w:tr>
        <w:tc>
          <w:tcPr>
            <w:tcW w:type="dxa" w:w="10080"/>
            <w:shd w:fill="FFFBEB"/>
            <w:tcMar>
              <w:top w:w="120" w:type="dxa"/>
              <w:bottom w:w="120" w:type="dxa"/>
              <w:left w:w="180" w:type="dxa"/>
              <w:right w:w="180" w:type="dxa"/>
            </w:tcMar>
          </w:tcPr>
          <w:p>
            <w:pPr>
              <w:spacing w:after="40"/>
            </w:pPr>
            <w:r>
              <w:rPr>
                <w:rFonts w:ascii="Calibri" w:hAnsi="Calibri"/>
                <w:b/>
                <w:color w:val="0F4C81"/>
                <w:sz w:val="21"/>
              </w:rPr>
              <w:t>Trap Q8: How does your app handle Corporate Actions like Stock Splits, Bonus Shares, and Dividends?</w:t>
              <w:br/>
            </w:r>
            <w:r>
              <w:rPr>
                <w:rFonts w:ascii="Calibri" w:hAnsi="Calibri"/>
                <w:color w:val="1E293B"/>
                <w:sz w:val="20"/>
              </w:rPr>
              <w:t xml:space="preserve">Answer: If a company executes a 1:10 stock split, the share price drops from ₹1,00,000 to ₹10,000 overnight. If a trading simulator does not adjust, the user's portfolio would show an erroneous 90% capital wipeout! Our system consumes Split-Adjusted and Dividend-Adjusted market feeds. When a corporate action event occurs, the engine recalculates the user's holding quantity (multiplying shares by 10) while adjusting the average purchase price (dividing by 10), ensuring the total portfolio valuation remains precisely preserved ($10 </w:t>
              <w:tab/>
              <w:t>imes ₹100 = ₹1,000$).</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