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2D64" w14:textId="456BDAA2" w:rsidR="0089297D" w:rsidRPr="0089297D" w:rsidRDefault="0089297D" w:rsidP="0089297D">
      <w:pPr>
        <w:pStyle w:val="ListParagraph"/>
        <w:spacing w:line="276" w:lineRule="auto"/>
        <w:rPr>
          <w:rFonts w:ascii="Times New Roman" w:eastAsia="Times New Roman" w:hAnsi="Times New Roman" w:cs="Times New Roman"/>
          <w:kern w:val="0"/>
          <w:lang w:eastAsia="en-IN"/>
          <w14:ligatures w14:val="none"/>
        </w:rPr>
      </w:pPr>
      <w:r w:rsidRPr="0089297D">
        <w:rPr>
          <w:rFonts w:ascii="Times New Roman" w:eastAsia="Times New Roman" w:hAnsi="Times New Roman" w:cs="Times New Roman"/>
          <w:kern w:val="0"/>
          <w:lang w:eastAsia="en-IN"/>
          <w14:ligatures w14:val="none"/>
        </w:rPr>
        <w:br/>
      </w:r>
      <w:r w:rsidR="00000000">
        <w:rPr>
          <w:rFonts w:ascii="Times New Roman" w:eastAsia="Times New Roman" w:hAnsi="Times New Roman" w:cs="Times New Roman"/>
          <w:kern w:val="0"/>
          <w:lang w:eastAsia="en-IN"/>
          <w14:ligatures w14:val="none"/>
        </w:rPr>
        <w:pict w14:anchorId="36FCA894">
          <v:rect id="_x0000_i1030" style="width:0;height:1.5pt" o:hrstd="t" o:hr="t" fillcolor="#a0a0a0" stroked="f"/>
        </w:pict>
      </w:r>
    </w:p>
    <w:p w14:paraId="565EEAD2" w14:textId="4E07FD06" w:rsidR="00FC1AF4" w:rsidRPr="002876B1" w:rsidRDefault="0089297D" w:rsidP="002876B1">
      <w:pPr>
        <w:pStyle w:val="ListParagraph"/>
        <w:spacing w:before="100" w:beforeAutospacing="1" w:line="276" w:lineRule="auto"/>
        <w:rPr>
          <w:rFonts w:ascii="Times New Roman" w:hAnsi="Times New Roman" w:cs="Times New Roman"/>
          <w:b/>
          <w:bCs/>
          <w:sz w:val="56"/>
          <w:szCs w:val="56"/>
        </w:rPr>
      </w:pPr>
      <w:r w:rsidRPr="002876B1">
        <w:rPr>
          <w:rFonts w:ascii="Times New Roman" w:eastAsia="Times New Roman" w:hAnsi="Times New Roman" w:cs="Times New Roman"/>
          <w:kern w:val="0"/>
          <w:sz w:val="56"/>
          <w:szCs w:val="56"/>
          <w:lang w:eastAsia="en-IN"/>
          <w14:ligatures w14:val="none"/>
        </w:rPr>
        <w:t>Predictive Financial Modelling</w:t>
      </w:r>
      <w:r w:rsidR="00352F75" w:rsidRPr="002876B1">
        <w:rPr>
          <w:rFonts w:ascii="Times New Roman" w:hAnsi="Times New Roman" w:cs="Times New Roman"/>
          <w:sz w:val="56"/>
          <w:szCs w:val="56"/>
        </w:rPr>
        <w:t xml:space="preserve">   </w:t>
      </w:r>
    </w:p>
    <w:p w14:paraId="0CBB0A3C" w14:textId="77777777" w:rsidR="00FC1AF4" w:rsidRDefault="00FC1AF4" w:rsidP="00FC1AF4">
      <w:pPr>
        <w:rPr>
          <w:rFonts w:ascii="Times New Roman" w:hAnsi="Times New Roman" w:cs="Times New Roman"/>
          <w:b/>
          <w:bCs/>
        </w:rPr>
      </w:pPr>
    </w:p>
    <w:p w14:paraId="032E65D8" w14:textId="77777777" w:rsidR="00C45CAE" w:rsidRDefault="00C45CAE" w:rsidP="00FC1AF4">
      <w:pPr>
        <w:rPr>
          <w:rFonts w:ascii="Times New Roman" w:hAnsi="Times New Roman" w:cs="Times New Roman"/>
          <w:b/>
          <w:bCs/>
        </w:rPr>
      </w:pPr>
    </w:p>
    <w:p w14:paraId="453A196B" w14:textId="77777777" w:rsidR="00C45CAE" w:rsidRDefault="00C45CAE" w:rsidP="00FC1AF4">
      <w:pPr>
        <w:rPr>
          <w:rFonts w:ascii="Times New Roman" w:hAnsi="Times New Roman" w:cs="Times New Roman"/>
          <w:b/>
          <w:bCs/>
        </w:rPr>
      </w:pPr>
    </w:p>
    <w:p w14:paraId="22D7C337" w14:textId="77777777" w:rsidR="00C45CAE" w:rsidRDefault="00C45CAE" w:rsidP="00FC1AF4">
      <w:pPr>
        <w:rPr>
          <w:rFonts w:ascii="Times New Roman" w:hAnsi="Times New Roman" w:cs="Times New Roman"/>
          <w:b/>
          <w:bCs/>
        </w:rPr>
      </w:pPr>
    </w:p>
    <w:p w14:paraId="347F7868" w14:textId="77777777" w:rsidR="00C45CAE" w:rsidRDefault="00C45CAE" w:rsidP="00FC1AF4">
      <w:pPr>
        <w:rPr>
          <w:rFonts w:ascii="Times New Roman" w:hAnsi="Times New Roman" w:cs="Times New Roman"/>
          <w:b/>
          <w:bCs/>
        </w:rPr>
      </w:pPr>
    </w:p>
    <w:p w14:paraId="048CBF62" w14:textId="77777777" w:rsidR="00C45CAE" w:rsidRDefault="00C45CAE" w:rsidP="00FC1AF4">
      <w:pPr>
        <w:rPr>
          <w:rFonts w:ascii="Times New Roman" w:hAnsi="Times New Roman" w:cs="Times New Roman"/>
          <w:b/>
          <w:bCs/>
        </w:rPr>
      </w:pPr>
    </w:p>
    <w:p w14:paraId="011FE01B" w14:textId="77777777" w:rsidR="00C45CAE" w:rsidRDefault="00C45CAE" w:rsidP="00FC1AF4">
      <w:pPr>
        <w:rPr>
          <w:rFonts w:ascii="Times New Roman" w:hAnsi="Times New Roman" w:cs="Times New Roman"/>
          <w:b/>
          <w:bCs/>
        </w:rPr>
      </w:pPr>
    </w:p>
    <w:p w14:paraId="42D318A9" w14:textId="77777777" w:rsidR="002876B1" w:rsidRDefault="002876B1" w:rsidP="00FC1AF4">
      <w:pPr>
        <w:rPr>
          <w:rFonts w:ascii="Times New Roman" w:hAnsi="Times New Roman" w:cs="Times New Roman"/>
          <w:b/>
          <w:bCs/>
        </w:rPr>
      </w:pPr>
    </w:p>
    <w:p w14:paraId="5C8DAFA8" w14:textId="77777777" w:rsidR="002876B1" w:rsidRDefault="002876B1" w:rsidP="00FC1AF4">
      <w:pPr>
        <w:rPr>
          <w:rFonts w:ascii="Times New Roman" w:hAnsi="Times New Roman" w:cs="Times New Roman"/>
          <w:b/>
          <w:bCs/>
        </w:rPr>
      </w:pPr>
    </w:p>
    <w:p w14:paraId="73765021" w14:textId="77777777" w:rsidR="002876B1" w:rsidRDefault="002876B1" w:rsidP="00FC1AF4">
      <w:pPr>
        <w:rPr>
          <w:rFonts w:ascii="Times New Roman" w:hAnsi="Times New Roman" w:cs="Times New Roman"/>
          <w:b/>
          <w:bCs/>
        </w:rPr>
      </w:pPr>
    </w:p>
    <w:p w14:paraId="49BF3777" w14:textId="77777777" w:rsidR="002876B1" w:rsidRDefault="002876B1" w:rsidP="00FC1AF4">
      <w:pPr>
        <w:rPr>
          <w:rFonts w:ascii="Times New Roman" w:hAnsi="Times New Roman" w:cs="Times New Roman"/>
          <w:b/>
          <w:bCs/>
        </w:rPr>
      </w:pPr>
    </w:p>
    <w:p w14:paraId="1D45B939" w14:textId="77777777" w:rsidR="002876B1" w:rsidRDefault="002876B1" w:rsidP="00FC1AF4">
      <w:pPr>
        <w:rPr>
          <w:rFonts w:ascii="Times New Roman" w:hAnsi="Times New Roman" w:cs="Times New Roman"/>
          <w:b/>
          <w:bCs/>
        </w:rPr>
      </w:pPr>
    </w:p>
    <w:p w14:paraId="19CD9026" w14:textId="77777777" w:rsidR="002876B1" w:rsidRDefault="002876B1" w:rsidP="00FC1AF4">
      <w:pPr>
        <w:rPr>
          <w:rFonts w:ascii="Times New Roman" w:hAnsi="Times New Roman" w:cs="Times New Roman"/>
          <w:b/>
          <w:bCs/>
        </w:rPr>
      </w:pPr>
    </w:p>
    <w:p w14:paraId="2235346D" w14:textId="77777777" w:rsidR="002876B1" w:rsidRDefault="002876B1" w:rsidP="00FC1AF4">
      <w:pPr>
        <w:rPr>
          <w:rFonts w:ascii="Times New Roman" w:hAnsi="Times New Roman" w:cs="Times New Roman"/>
          <w:b/>
          <w:bCs/>
        </w:rPr>
      </w:pPr>
    </w:p>
    <w:p w14:paraId="3327430F" w14:textId="77777777" w:rsidR="002876B1" w:rsidRDefault="002876B1" w:rsidP="00FC1AF4">
      <w:pPr>
        <w:rPr>
          <w:rFonts w:ascii="Times New Roman" w:hAnsi="Times New Roman" w:cs="Times New Roman"/>
          <w:b/>
          <w:bCs/>
        </w:rPr>
      </w:pPr>
    </w:p>
    <w:p w14:paraId="4E10B586" w14:textId="77777777" w:rsidR="002876B1" w:rsidRDefault="002876B1" w:rsidP="00FC1AF4">
      <w:pPr>
        <w:rPr>
          <w:rFonts w:ascii="Times New Roman" w:hAnsi="Times New Roman" w:cs="Times New Roman"/>
          <w:b/>
          <w:bCs/>
        </w:rPr>
      </w:pPr>
    </w:p>
    <w:p w14:paraId="55FFB678" w14:textId="77777777" w:rsidR="002876B1" w:rsidRPr="0089297D" w:rsidRDefault="002876B1" w:rsidP="00FC1AF4">
      <w:pPr>
        <w:rPr>
          <w:rFonts w:ascii="Times New Roman" w:hAnsi="Times New Roman" w:cs="Times New Roman"/>
          <w:b/>
          <w:bCs/>
        </w:rPr>
      </w:pPr>
    </w:p>
    <w:p w14:paraId="38CE4FD2" w14:textId="77777777" w:rsidR="00FC1AF4" w:rsidRPr="0089297D" w:rsidRDefault="00FC1AF4" w:rsidP="00FC1AF4">
      <w:pPr>
        <w:rPr>
          <w:rFonts w:ascii="Times New Roman" w:hAnsi="Times New Roman" w:cs="Times New Roman"/>
          <w:b/>
          <w:bCs/>
        </w:rPr>
      </w:pPr>
    </w:p>
    <w:p w14:paraId="6AC607BA" w14:textId="77777777" w:rsidR="00FC1AF4" w:rsidRPr="0089297D" w:rsidRDefault="00FC1AF4" w:rsidP="00FC1AF4">
      <w:pPr>
        <w:rPr>
          <w:rFonts w:ascii="Times New Roman" w:hAnsi="Times New Roman" w:cs="Times New Roman"/>
          <w:b/>
          <w:bCs/>
        </w:rPr>
      </w:pPr>
    </w:p>
    <w:p w14:paraId="476E7199" w14:textId="77777777" w:rsidR="00FC1AF4" w:rsidRPr="0089297D" w:rsidRDefault="00FC1AF4" w:rsidP="00FC1AF4">
      <w:pPr>
        <w:rPr>
          <w:rFonts w:ascii="Times New Roman" w:hAnsi="Times New Roman" w:cs="Times New Roman"/>
          <w:b/>
          <w:bCs/>
        </w:rPr>
      </w:pPr>
    </w:p>
    <w:p w14:paraId="32B07D17" w14:textId="77777777" w:rsidR="00FC1AF4" w:rsidRPr="0089297D" w:rsidRDefault="00FC1AF4" w:rsidP="00FC1AF4">
      <w:pPr>
        <w:rPr>
          <w:rFonts w:ascii="Times New Roman" w:hAnsi="Times New Roman" w:cs="Times New Roman"/>
          <w:b/>
          <w:bCs/>
        </w:rPr>
      </w:pPr>
    </w:p>
    <w:p w14:paraId="37960BAA" w14:textId="77777777" w:rsidR="00FC1AF4" w:rsidRPr="0089297D" w:rsidRDefault="00FC1AF4" w:rsidP="00FC1AF4">
      <w:pPr>
        <w:rPr>
          <w:rFonts w:ascii="Times New Roman" w:hAnsi="Times New Roman" w:cs="Times New Roman"/>
          <w:b/>
          <w:bCs/>
        </w:rPr>
      </w:pPr>
    </w:p>
    <w:p w14:paraId="46895DB0" w14:textId="77777777" w:rsidR="00FC1AF4" w:rsidRPr="0089297D" w:rsidRDefault="00FC1AF4" w:rsidP="00FC1AF4">
      <w:pPr>
        <w:rPr>
          <w:rFonts w:ascii="Times New Roman" w:hAnsi="Times New Roman" w:cs="Times New Roman"/>
          <w:b/>
          <w:bCs/>
        </w:rPr>
      </w:pPr>
    </w:p>
    <w:p w14:paraId="7929E08C" w14:textId="77777777" w:rsidR="00FC1AF4" w:rsidRPr="0089297D" w:rsidRDefault="00FC1AF4" w:rsidP="00FC1AF4">
      <w:pPr>
        <w:rPr>
          <w:rFonts w:ascii="Times New Roman" w:hAnsi="Times New Roman" w:cs="Times New Roman"/>
          <w:b/>
          <w:bCs/>
        </w:rPr>
      </w:pPr>
    </w:p>
    <w:p w14:paraId="2EB37D82" w14:textId="77777777" w:rsidR="00FC1AF4" w:rsidRPr="0089297D" w:rsidRDefault="00FC1AF4" w:rsidP="00FC1AF4">
      <w:pPr>
        <w:rPr>
          <w:rFonts w:ascii="Times New Roman" w:hAnsi="Times New Roman" w:cs="Times New Roman"/>
          <w:b/>
          <w:bCs/>
        </w:rPr>
      </w:pPr>
    </w:p>
    <w:p w14:paraId="319FDB00" w14:textId="77777777" w:rsidR="00FC1AF4" w:rsidRPr="0089297D" w:rsidRDefault="00FC1AF4" w:rsidP="00FC1AF4">
      <w:pPr>
        <w:rPr>
          <w:rFonts w:ascii="Times New Roman" w:hAnsi="Times New Roman" w:cs="Times New Roman"/>
          <w:b/>
          <w:bCs/>
        </w:rPr>
      </w:pPr>
    </w:p>
    <w:p w14:paraId="32BF25A3" w14:textId="77777777" w:rsidR="00FC1AF4" w:rsidRPr="0089297D" w:rsidRDefault="00FC1AF4" w:rsidP="00FC1AF4">
      <w:pPr>
        <w:rPr>
          <w:rFonts w:ascii="Times New Roman" w:hAnsi="Times New Roman" w:cs="Times New Roman"/>
          <w:b/>
          <w:bCs/>
        </w:rPr>
      </w:pPr>
    </w:p>
    <w:p w14:paraId="65C74BC0" w14:textId="496FBA91" w:rsidR="00C45CAE" w:rsidRPr="00C45CAE" w:rsidRDefault="00FC1AF4" w:rsidP="00C45CAE">
      <w:pPr>
        <w:jc w:val="center"/>
        <w:rPr>
          <w:rFonts w:ascii="Times New Roman" w:hAnsi="Times New Roman" w:cs="Times New Roman"/>
        </w:rPr>
      </w:pPr>
      <w:r w:rsidRPr="00FC1AF4">
        <w:rPr>
          <w:rFonts w:ascii="Times New Roman" w:hAnsi="Times New Roman" w:cs="Times New Roman"/>
          <w:b/>
          <w:bCs/>
        </w:rPr>
        <w:t>Table of Contents</w:t>
      </w:r>
    </w:p>
    <w:tbl>
      <w:tblPr>
        <w:tblW w:w="7295" w:type="dxa"/>
        <w:tblCellSpacing w:w="15" w:type="dxa"/>
        <w:tblCellMar>
          <w:top w:w="15" w:type="dxa"/>
          <w:left w:w="15" w:type="dxa"/>
          <w:bottom w:w="15" w:type="dxa"/>
          <w:right w:w="15" w:type="dxa"/>
        </w:tblCellMar>
        <w:tblLook w:val="04A0" w:firstRow="1" w:lastRow="0" w:firstColumn="1" w:lastColumn="0" w:noHBand="0" w:noVBand="1"/>
      </w:tblPr>
      <w:tblGrid>
        <w:gridCol w:w="5558"/>
        <w:gridCol w:w="1737"/>
      </w:tblGrid>
      <w:tr w:rsidR="00C45CAE" w:rsidRPr="00C45CAE" w14:paraId="5EE05226" w14:textId="77777777" w:rsidTr="00C45CAE">
        <w:trPr>
          <w:trHeight w:val="908"/>
          <w:tblHeader/>
          <w:tblCellSpacing w:w="15" w:type="dxa"/>
        </w:trPr>
        <w:tc>
          <w:tcPr>
            <w:tcW w:w="0" w:type="auto"/>
            <w:vAlign w:val="center"/>
            <w:hideMark/>
          </w:tcPr>
          <w:p w14:paraId="29B1FCF0" w14:textId="77777777" w:rsidR="00C45CAE" w:rsidRPr="00C45CAE" w:rsidRDefault="00C45CAE" w:rsidP="00C45CAE">
            <w:pPr>
              <w:rPr>
                <w:rFonts w:ascii="Times New Roman" w:hAnsi="Times New Roman" w:cs="Times New Roman"/>
                <w:b/>
                <w:bCs/>
              </w:rPr>
            </w:pPr>
            <w:r w:rsidRPr="00C45CAE">
              <w:rPr>
                <w:rFonts w:ascii="Times New Roman" w:hAnsi="Times New Roman" w:cs="Times New Roman"/>
                <w:b/>
                <w:bCs/>
              </w:rPr>
              <w:t>Section</w:t>
            </w:r>
          </w:p>
        </w:tc>
        <w:tc>
          <w:tcPr>
            <w:tcW w:w="0" w:type="auto"/>
            <w:vAlign w:val="center"/>
            <w:hideMark/>
          </w:tcPr>
          <w:p w14:paraId="2C414427" w14:textId="77777777" w:rsidR="00C45CAE" w:rsidRPr="00C45CAE" w:rsidRDefault="00C45CAE" w:rsidP="00C45CAE">
            <w:pPr>
              <w:rPr>
                <w:rFonts w:ascii="Times New Roman" w:hAnsi="Times New Roman" w:cs="Times New Roman"/>
                <w:b/>
                <w:bCs/>
              </w:rPr>
            </w:pPr>
            <w:r w:rsidRPr="00C45CAE">
              <w:rPr>
                <w:rFonts w:ascii="Times New Roman" w:hAnsi="Times New Roman" w:cs="Times New Roman"/>
                <w:b/>
                <w:bCs/>
              </w:rPr>
              <w:t>Page Number</w:t>
            </w:r>
          </w:p>
        </w:tc>
      </w:tr>
      <w:tr w:rsidR="00C45CAE" w:rsidRPr="00C45CAE" w14:paraId="41E7C3E8" w14:textId="77777777" w:rsidTr="00C45CAE">
        <w:trPr>
          <w:trHeight w:val="870"/>
          <w:tblCellSpacing w:w="15" w:type="dxa"/>
        </w:trPr>
        <w:tc>
          <w:tcPr>
            <w:tcW w:w="0" w:type="auto"/>
            <w:vAlign w:val="center"/>
            <w:hideMark/>
          </w:tcPr>
          <w:p w14:paraId="5EBC6EAB" w14:textId="77777777" w:rsidR="00C45CAE" w:rsidRPr="00C45CAE" w:rsidRDefault="00C45CAE" w:rsidP="00C45CAE">
            <w:pPr>
              <w:rPr>
                <w:rFonts w:ascii="Times New Roman" w:hAnsi="Times New Roman" w:cs="Times New Roman"/>
              </w:rPr>
            </w:pPr>
            <w:r w:rsidRPr="00C45CAE">
              <w:rPr>
                <w:rFonts w:ascii="Times New Roman" w:hAnsi="Times New Roman" w:cs="Times New Roman"/>
                <w:b/>
                <w:bCs/>
              </w:rPr>
              <w:t>1. Introduction</w:t>
            </w:r>
          </w:p>
        </w:tc>
        <w:tc>
          <w:tcPr>
            <w:tcW w:w="0" w:type="auto"/>
            <w:vAlign w:val="center"/>
            <w:hideMark/>
          </w:tcPr>
          <w:p w14:paraId="7DEE816A" w14:textId="77777777" w:rsidR="00C45CAE" w:rsidRPr="00C45CAE" w:rsidRDefault="00C45CAE" w:rsidP="00C45CAE">
            <w:pPr>
              <w:rPr>
                <w:rFonts w:ascii="Times New Roman" w:hAnsi="Times New Roman" w:cs="Times New Roman"/>
              </w:rPr>
            </w:pPr>
            <w:r w:rsidRPr="00C45CAE">
              <w:rPr>
                <w:rFonts w:ascii="Times New Roman" w:hAnsi="Times New Roman" w:cs="Times New Roman"/>
              </w:rPr>
              <w:t>3</w:t>
            </w:r>
          </w:p>
        </w:tc>
      </w:tr>
      <w:tr w:rsidR="00C45CAE" w:rsidRPr="00C45CAE" w14:paraId="5F741F8C" w14:textId="77777777" w:rsidTr="00C45CAE">
        <w:trPr>
          <w:trHeight w:val="870"/>
          <w:tblCellSpacing w:w="15" w:type="dxa"/>
        </w:trPr>
        <w:tc>
          <w:tcPr>
            <w:tcW w:w="0" w:type="auto"/>
            <w:vAlign w:val="center"/>
            <w:hideMark/>
          </w:tcPr>
          <w:p w14:paraId="7353739E" w14:textId="77777777" w:rsidR="00C45CAE" w:rsidRPr="00C45CAE" w:rsidRDefault="00C45CAE" w:rsidP="00C45CAE">
            <w:pPr>
              <w:rPr>
                <w:rFonts w:ascii="Times New Roman" w:hAnsi="Times New Roman" w:cs="Times New Roman"/>
              </w:rPr>
            </w:pPr>
            <w:r w:rsidRPr="00C45CAE">
              <w:rPr>
                <w:rFonts w:ascii="Times New Roman" w:hAnsi="Times New Roman" w:cs="Times New Roman"/>
                <w:b/>
                <w:bCs/>
              </w:rPr>
              <w:t>2. Justification for Data Source and Variables</w:t>
            </w:r>
          </w:p>
        </w:tc>
        <w:tc>
          <w:tcPr>
            <w:tcW w:w="0" w:type="auto"/>
            <w:vAlign w:val="center"/>
            <w:hideMark/>
          </w:tcPr>
          <w:p w14:paraId="63877A85" w14:textId="018000FA" w:rsidR="00C45CAE" w:rsidRPr="00C45CAE" w:rsidRDefault="00C45CAE" w:rsidP="00C45CAE">
            <w:pPr>
              <w:rPr>
                <w:rFonts w:ascii="Times New Roman" w:hAnsi="Times New Roman" w:cs="Times New Roman"/>
              </w:rPr>
            </w:pPr>
            <w:r>
              <w:rPr>
                <w:rFonts w:ascii="Times New Roman" w:hAnsi="Times New Roman" w:cs="Times New Roman"/>
              </w:rPr>
              <w:t>3</w:t>
            </w:r>
          </w:p>
        </w:tc>
      </w:tr>
      <w:tr w:rsidR="00C45CAE" w:rsidRPr="00C45CAE" w14:paraId="444F8CFB" w14:textId="77777777" w:rsidTr="00C45CAE">
        <w:trPr>
          <w:trHeight w:val="870"/>
          <w:tblCellSpacing w:w="15" w:type="dxa"/>
        </w:trPr>
        <w:tc>
          <w:tcPr>
            <w:tcW w:w="0" w:type="auto"/>
            <w:vAlign w:val="center"/>
            <w:hideMark/>
          </w:tcPr>
          <w:p w14:paraId="04EB38E5" w14:textId="77777777" w:rsidR="00C45CAE" w:rsidRPr="00C45CAE" w:rsidRDefault="00C45CAE" w:rsidP="00C45CAE">
            <w:pPr>
              <w:rPr>
                <w:rFonts w:ascii="Times New Roman" w:hAnsi="Times New Roman" w:cs="Times New Roman"/>
              </w:rPr>
            </w:pPr>
            <w:r w:rsidRPr="00C45CAE">
              <w:rPr>
                <w:rFonts w:ascii="Times New Roman" w:hAnsi="Times New Roman" w:cs="Times New Roman"/>
                <w:b/>
                <w:bCs/>
              </w:rPr>
              <w:t>3. Methodology and Statistical Tools</w:t>
            </w:r>
          </w:p>
        </w:tc>
        <w:tc>
          <w:tcPr>
            <w:tcW w:w="0" w:type="auto"/>
            <w:vAlign w:val="center"/>
            <w:hideMark/>
          </w:tcPr>
          <w:p w14:paraId="4EF26668" w14:textId="1C4CB471" w:rsidR="00C45CAE" w:rsidRPr="00C45CAE" w:rsidRDefault="00C45CAE" w:rsidP="00C45CAE">
            <w:pPr>
              <w:rPr>
                <w:rFonts w:ascii="Times New Roman" w:hAnsi="Times New Roman" w:cs="Times New Roman"/>
              </w:rPr>
            </w:pPr>
            <w:r>
              <w:rPr>
                <w:rFonts w:ascii="Times New Roman" w:hAnsi="Times New Roman" w:cs="Times New Roman"/>
              </w:rPr>
              <w:t>3</w:t>
            </w:r>
          </w:p>
        </w:tc>
      </w:tr>
      <w:tr w:rsidR="00C45CAE" w:rsidRPr="00C45CAE" w14:paraId="68082145" w14:textId="77777777" w:rsidTr="00C45CAE">
        <w:trPr>
          <w:trHeight w:val="870"/>
          <w:tblCellSpacing w:w="15" w:type="dxa"/>
        </w:trPr>
        <w:tc>
          <w:tcPr>
            <w:tcW w:w="0" w:type="auto"/>
            <w:vAlign w:val="center"/>
            <w:hideMark/>
          </w:tcPr>
          <w:p w14:paraId="3AE053EC" w14:textId="77777777" w:rsidR="00C45CAE" w:rsidRPr="00C45CAE" w:rsidRDefault="00C45CAE" w:rsidP="00C45CAE">
            <w:pPr>
              <w:rPr>
                <w:rFonts w:ascii="Times New Roman" w:hAnsi="Times New Roman" w:cs="Times New Roman"/>
              </w:rPr>
            </w:pPr>
            <w:r w:rsidRPr="00C45CAE">
              <w:rPr>
                <w:rFonts w:ascii="Times New Roman" w:hAnsi="Times New Roman" w:cs="Times New Roman"/>
                <w:b/>
                <w:bCs/>
              </w:rPr>
              <w:t>4. Graphical Analysis</w:t>
            </w:r>
          </w:p>
        </w:tc>
        <w:tc>
          <w:tcPr>
            <w:tcW w:w="0" w:type="auto"/>
            <w:vAlign w:val="center"/>
            <w:hideMark/>
          </w:tcPr>
          <w:p w14:paraId="4B005D4D" w14:textId="7F9F8FB1" w:rsidR="00C45CAE" w:rsidRPr="00C45CAE" w:rsidRDefault="00C45CAE" w:rsidP="00C45CAE">
            <w:pPr>
              <w:rPr>
                <w:rFonts w:ascii="Times New Roman" w:hAnsi="Times New Roman" w:cs="Times New Roman"/>
              </w:rPr>
            </w:pPr>
            <w:r>
              <w:rPr>
                <w:rFonts w:ascii="Times New Roman" w:hAnsi="Times New Roman" w:cs="Times New Roman"/>
              </w:rPr>
              <w:t>4</w:t>
            </w:r>
          </w:p>
        </w:tc>
      </w:tr>
      <w:tr w:rsidR="00C45CAE" w:rsidRPr="00C45CAE" w14:paraId="74E05C6F" w14:textId="77777777" w:rsidTr="00C45CAE">
        <w:trPr>
          <w:trHeight w:val="870"/>
          <w:tblCellSpacing w:w="15" w:type="dxa"/>
        </w:trPr>
        <w:tc>
          <w:tcPr>
            <w:tcW w:w="0" w:type="auto"/>
            <w:vAlign w:val="center"/>
            <w:hideMark/>
          </w:tcPr>
          <w:p w14:paraId="1AF14D27" w14:textId="77777777" w:rsidR="00C45CAE" w:rsidRPr="00C45CAE" w:rsidRDefault="00C45CAE" w:rsidP="00C45CAE">
            <w:pPr>
              <w:rPr>
                <w:rFonts w:ascii="Times New Roman" w:hAnsi="Times New Roman" w:cs="Times New Roman"/>
              </w:rPr>
            </w:pPr>
            <w:r w:rsidRPr="00C45CAE">
              <w:rPr>
                <w:rFonts w:ascii="Times New Roman" w:hAnsi="Times New Roman" w:cs="Times New Roman"/>
              </w:rPr>
              <w:t>    4.1 Stock Price Trend</w:t>
            </w:r>
          </w:p>
        </w:tc>
        <w:tc>
          <w:tcPr>
            <w:tcW w:w="0" w:type="auto"/>
            <w:vAlign w:val="center"/>
            <w:hideMark/>
          </w:tcPr>
          <w:p w14:paraId="36299906" w14:textId="4B2BBFC4" w:rsidR="00C45CAE" w:rsidRPr="00C45CAE" w:rsidRDefault="00C45CAE" w:rsidP="00C45CAE">
            <w:pPr>
              <w:rPr>
                <w:rFonts w:ascii="Times New Roman" w:hAnsi="Times New Roman" w:cs="Times New Roman"/>
              </w:rPr>
            </w:pPr>
            <w:r>
              <w:rPr>
                <w:rFonts w:ascii="Times New Roman" w:hAnsi="Times New Roman" w:cs="Times New Roman"/>
              </w:rPr>
              <w:t>4</w:t>
            </w:r>
          </w:p>
        </w:tc>
      </w:tr>
      <w:tr w:rsidR="00C45CAE" w:rsidRPr="00C45CAE" w14:paraId="769FB0A4" w14:textId="77777777" w:rsidTr="00C45CAE">
        <w:trPr>
          <w:trHeight w:val="870"/>
          <w:tblCellSpacing w:w="15" w:type="dxa"/>
        </w:trPr>
        <w:tc>
          <w:tcPr>
            <w:tcW w:w="0" w:type="auto"/>
            <w:vAlign w:val="center"/>
            <w:hideMark/>
          </w:tcPr>
          <w:p w14:paraId="5E4705AF" w14:textId="77777777" w:rsidR="00C45CAE" w:rsidRPr="00C45CAE" w:rsidRDefault="00C45CAE" w:rsidP="00C45CAE">
            <w:pPr>
              <w:rPr>
                <w:rFonts w:ascii="Times New Roman" w:hAnsi="Times New Roman" w:cs="Times New Roman"/>
              </w:rPr>
            </w:pPr>
            <w:r w:rsidRPr="00C45CAE">
              <w:rPr>
                <w:rFonts w:ascii="Times New Roman" w:hAnsi="Times New Roman" w:cs="Times New Roman"/>
              </w:rPr>
              <w:t>    4.2 High vs. Low Price Trend</w:t>
            </w:r>
          </w:p>
        </w:tc>
        <w:tc>
          <w:tcPr>
            <w:tcW w:w="0" w:type="auto"/>
            <w:vAlign w:val="center"/>
            <w:hideMark/>
          </w:tcPr>
          <w:p w14:paraId="65B1F20C" w14:textId="060F54A6" w:rsidR="00C45CAE" w:rsidRPr="00C45CAE" w:rsidRDefault="00C45CAE" w:rsidP="00C45CAE">
            <w:pPr>
              <w:rPr>
                <w:rFonts w:ascii="Times New Roman" w:hAnsi="Times New Roman" w:cs="Times New Roman"/>
              </w:rPr>
            </w:pPr>
            <w:r>
              <w:rPr>
                <w:rFonts w:ascii="Times New Roman" w:hAnsi="Times New Roman" w:cs="Times New Roman"/>
              </w:rPr>
              <w:t>5</w:t>
            </w:r>
          </w:p>
        </w:tc>
      </w:tr>
      <w:tr w:rsidR="00C45CAE" w:rsidRPr="00C45CAE" w14:paraId="22126C44" w14:textId="77777777" w:rsidTr="00C45CAE">
        <w:trPr>
          <w:trHeight w:val="870"/>
          <w:tblCellSpacing w:w="15" w:type="dxa"/>
        </w:trPr>
        <w:tc>
          <w:tcPr>
            <w:tcW w:w="0" w:type="auto"/>
            <w:vAlign w:val="center"/>
            <w:hideMark/>
          </w:tcPr>
          <w:p w14:paraId="67486E33" w14:textId="77777777" w:rsidR="00C45CAE" w:rsidRPr="00C45CAE" w:rsidRDefault="00C45CAE" w:rsidP="00C45CAE">
            <w:pPr>
              <w:rPr>
                <w:rFonts w:ascii="Times New Roman" w:hAnsi="Times New Roman" w:cs="Times New Roman"/>
              </w:rPr>
            </w:pPr>
            <w:r w:rsidRPr="00C45CAE">
              <w:rPr>
                <w:rFonts w:ascii="Times New Roman" w:hAnsi="Times New Roman" w:cs="Times New Roman"/>
              </w:rPr>
              <w:t>    4.3 Trading Volume Analysis</w:t>
            </w:r>
          </w:p>
        </w:tc>
        <w:tc>
          <w:tcPr>
            <w:tcW w:w="0" w:type="auto"/>
            <w:vAlign w:val="center"/>
            <w:hideMark/>
          </w:tcPr>
          <w:p w14:paraId="60B886A6" w14:textId="12566B3A" w:rsidR="00C45CAE" w:rsidRPr="00C45CAE" w:rsidRDefault="00C45CAE" w:rsidP="00C45CAE">
            <w:pPr>
              <w:rPr>
                <w:rFonts w:ascii="Times New Roman" w:hAnsi="Times New Roman" w:cs="Times New Roman"/>
              </w:rPr>
            </w:pPr>
            <w:r>
              <w:rPr>
                <w:rFonts w:ascii="Times New Roman" w:hAnsi="Times New Roman" w:cs="Times New Roman"/>
              </w:rPr>
              <w:t>6</w:t>
            </w:r>
          </w:p>
        </w:tc>
      </w:tr>
      <w:tr w:rsidR="00C45CAE" w:rsidRPr="00C45CAE" w14:paraId="29CA677A" w14:textId="77777777" w:rsidTr="00C45CAE">
        <w:trPr>
          <w:trHeight w:val="870"/>
          <w:tblCellSpacing w:w="15" w:type="dxa"/>
        </w:trPr>
        <w:tc>
          <w:tcPr>
            <w:tcW w:w="0" w:type="auto"/>
            <w:vAlign w:val="center"/>
            <w:hideMark/>
          </w:tcPr>
          <w:p w14:paraId="37D03E00" w14:textId="77777777" w:rsidR="00C45CAE" w:rsidRPr="00C45CAE" w:rsidRDefault="00C45CAE" w:rsidP="00C45CAE">
            <w:pPr>
              <w:rPr>
                <w:rFonts w:ascii="Times New Roman" w:hAnsi="Times New Roman" w:cs="Times New Roman"/>
              </w:rPr>
            </w:pPr>
            <w:r w:rsidRPr="00C45CAE">
              <w:rPr>
                <w:rFonts w:ascii="Times New Roman" w:hAnsi="Times New Roman" w:cs="Times New Roman"/>
              </w:rPr>
              <w:t>    4.4 Moving Average Trend</w:t>
            </w:r>
          </w:p>
        </w:tc>
        <w:tc>
          <w:tcPr>
            <w:tcW w:w="0" w:type="auto"/>
            <w:vAlign w:val="center"/>
            <w:hideMark/>
          </w:tcPr>
          <w:p w14:paraId="4AE762E9" w14:textId="6823216B" w:rsidR="00C45CAE" w:rsidRPr="00C45CAE" w:rsidRDefault="00C45CAE" w:rsidP="00C45CAE">
            <w:pPr>
              <w:rPr>
                <w:rFonts w:ascii="Times New Roman" w:hAnsi="Times New Roman" w:cs="Times New Roman"/>
              </w:rPr>
            </w:pPr>
            <w:r>
              <w:rPr>
                <w:rFonts w:ascii="Times New Roman" w:hAnsi="Times New Roman" w:cs="Times New Roman"/>
              </w:rPr>
              <w:t>7</w:t>
            </w:r>
          </w:p>
        </w:tc>
      </w:tr>
      <w:tr w:rsidR="00C45CAE" w:rsidRPr="00C45CAE" w14:paraId="4583F4D6" w14:textId="77777777" w:rsidTr="00C45CAE">
        <w:trPr>
          <w:trHeight w:val="870"/>
          <w:tblCellSpacing w:w="15" w:type="dxa"/>
        </w:trPr>
        <w:tc>
          <w:tcPr>
            <w:tcW w:w="0" w:type="auto"/>
            <w:vAlign w:val="center"/>
            <w:hideMark/>
          </w:tcPr>
          <w:p w14:paraId="73744A35" w14:textId="5E267C7D" w:rsidR="00C45CAE" w:rsidRPr="00C45CAE" w:rsidRDefault="008D33DA" w:rsidP="00C45CAE">
            <w:pPr>
              <w:rPr>
                <w:rFonts w:ascii="Times New Roman" w:hAnsi="Times New Roman" w:cs="Times New Roman"/>
              </w:rPr>
            </w:pPr>
            <w:r>
              <w:rPr>
                <w:rFonts w:ascii="Times New Roman" w:hAnsi="Times New Roman" w:cs="Times New Roman"/>
                <w:b/>
                <w:bCs/>
              </w:rPr>
              <w:t>5</w:t>
            </w:r>
            <w:r w:rsidR="00C45CAE" w:rsidRPr="00C45CAE">
              <w:rPr>
                <w:rFonts w:ascii="Times New Roman" w:hAnsi="Times New Roman" w:cs="Times New Roman"/>
                <w:b/>
                <w:bCs/>
              </w:rPr>
              <w:t>. Conclusion</w:t>
            </w:r>
          </w:p>
        </w:tc>
        <w:tc>
          <w:tcPr>
            <w:tcW w:w="0" w:type="auto"/>
            <w:vAlign w:val="center"/>
            <w:hideMark/>
          </w:tcPr>
          <w:p w14:paraId="4F4FDAA6" w14:textId="701A7295" w:rsidR="00C45CAE" w:rsidRPr="00C45CAE" w:rsidRDefault="00C45CAE" w:rsidP="00C45CAE">
            <w:pPr>
              <w:rPr>
                <w:rFonts w:ascii="Times New Roman" w:hAnsi="Times New Roman" w:cs="Times New Roman"/>
              </w:rPr>
            </w:pPr>
            <w:r>
              <w:rPr>
                <w:rFonts w:ascii="Times New Roman" w:hAnsi="Times New Roman" w:cs="Times New Roman"/>
              </w:rPr>
              <w:t>8</w:t>
            </w:r>
          </w:p>
        </w:tc>
      </w:tr>
      <w:tr w:rsidR="00C45CAE" w:rsidRPr="00C45CAE" w14:paraId="1F5117EC" w14:textId="77777777" w:rsidTr="00C45CAE">
        <w:trPr>
          <w:trHeight w:val="870"/>
          <w:tblCellSpacing w:w="15" w:type="dxa"/>
        </w:trPr>
        <w:tc>
          <w:tcPr>
            <w:tcW w:w="0" w:type="auto"/>
            <w:vAlign w:val="center"/>
            <w:hideMark/>
          </w:tcPr>
          <w:p w14:paraId="72548A1C" w14:textId="011A52C9" w:rsidR="00C45CAE" w:rsidRPr="00C45CAE" w:rsidRDefault="008D33DA" w:rsidP="00C45CAE">
            <w:pPr>
              <w:rPr>
                <w:rFonts w:ascii="Times New Roman" w:hAnsi="Times New Roman" w:cs="Times New Roman"/>
              </w:rPr>
            </w:pPr>
            <w:r>
              <w:rPr>
                <w:rFonts w:ascii="Times New Roman" w:hAnsi="Times New Roman" w:cs="Times New Roman"/>
                <w:b/>
                <w:bCs/>
              </w:rPr>
              <w:t>6</w:t>
            </w:r>
            <w:r w:rsidR="00C45CAE" w:rsidRPr="00C45CAE">
              <w:rPr>
                <w:rFonts w:ascii="Times New Roman" w:hAnsi="Times New Roman" w:cs="Times New Roman"/>
                <w:b/>
                <w:bCs/>
              </w:rPr>
              <w:t>. References</w:t>
            </w:r>
          </w:p>
        </w:tc>
        <w:tc>
          <w:tcPr>
            <w:tcW w:w="0" w:type="auto"/>
            <w:vAlign w:val="center"/>
            <w:hideMark/>
          </w:tcPr>
          <w:p w14:paraId="3043423E" w14:textId="316A9E72" w:rsidR="00C45CAE" w:rsidRPr="00C45CAE" w:rsidRDefault="00034273" w:rsidP="00C45CAE">
            <w:pPr>
              <w:rPr>
                <w:rFonts w:ascii="Times New Roman" w:hAnsi="Times New Roman" w:cs="Times New Roman"/>
              </w:rPr>
            </w:pPr>
            <w:r>
              <w:rPr>
                <w:rFonts w:ascii="Times New Roman" w:hAnsi="Times New Roman" w:cs="Times New Roman"/>
              </w:rPr>
              <w:t>1</w:t>
            </w:r>
            <w:r w:rsidR="00C54EE6">
              <w:rPr>
                <w:rFonts w:ascii="Times New Roman" w:hAnsi="Times New Roman" w:cs="Times New Roman"/>
              </w:rPr>
              <w:t>0</w:t>
            </w:r>
          </w:p>
        </w:tc>
      </w:tr>
    </w:tbl>
    <w:p w14:paraId="72A4085F" w14:textId="0CEFAD6E" w:rsidR="00FC1AF4" w:rsidRPr="00FC1AF4" w:rsidRDefault="00FC1AF4" w:rsidP="00FC1AF4">
      <w:pPr>
        <w:rPr>
          <w:rFonts w:ascii="Times New Roman" w:hAnsi="Times New Roman" w:cs="Times New Roman"/>
        </w:rPr>
      </w:pPr>
    </w:p>
    <w:p w14:paraId="1DF18C30" w14:textId="77777777" w:rsidR="00FC1AF4" w:rsidRPr="0089297D" w:rsidRDefault="00FC1AF4" w:rsidP="00FC1AF4">
      <w:pPr>
        <w:rPr>
          <w:rFonts w:ascii="Times New Roman" w:hAnsi="Times New Roman" w:cs="Times New Roman"/>
          <w:b/>
          <w:bCs/>
        </w:rPr>
      </w:pPr>
    </w:p>
    <w:p w14:paraId="33317311" w14:textId="77777777" w:rsidR="005F581E" w:rsidRDefault="005F581E" w:rsidP="00FC1AF4">
      <w:pPr>
        <w:rPr>
          <w:rFonts w:ascii="Times New Roman" w:hAnsi="Times New Roman" w:cs="Times New Roman"/>
          <w:b/>
          <w:bCs/>
          <w:sz w:val="28"/>
          <w:szCs w:val="28"/>
        </w:rPr>
      </w:pPr>
    </w:p>
    <w:p w14:paraId="35C3AF52" w14:textId="77777777" w:rsidR="005F581E" w:rsidRDefault="005F581E" w:rsidP="00FC1AF4">
      <w:pPr>
        <w:rPr>
          <w:rFonts w:ascii="Times New Roman" w:hAnsi="Times New Roman" w:cs="Times New Roman"/>
          <w:b/>
          <w:bCs/>
          <w:sz w:val="28"/>
          <w:szCs w:val="28"/>
        </w:rPr>
      </w:pPr>
    </w:p>
    <w:p w14:paraId="4F92BFDC" w14:textId="77777777" w:rsidR="008D33DA" w:rsidRDefault="008D33DA" w:rsidP="00FC1AF4">
      <w:pPr>
        <w:rPr>
          <w:rFonts w:ascii="Times New Roman" w:hAnsi="Times New Roman" w:cs="Times New Roman"/>
          <w:b/>
          <w:bCs/>
          <w:sz w:val="28"/>
          <w:szCs w:val="28"/>
        </w:rPr>
      </w:pPr>
    </w:p>
    <w:p w14:paraId="1C0CB7A0" w14:textId="77777777" w:rsidR="008D33DA" w:rsidRDefault="008D33DA" w:rsidP="00FC1AF4">
      <w:pPr>
        <w:rPr>
          <w:rFonts w:ascii="Times New Roman" w:hAnsi="Times New Roman" w:cs="Times New Roman"/>
          <w:b/>
          <w:bCs/>
          <w:sz w:val="28"/>
          <w:szCs w:val="28"/>
        </w:rPr>
      </w:pPr>
    </w:p>
    <w:p w14:paraId="19E218F4" w14:textId="4BD74206" w:rsidR="00FC1AF4" w:rsidRPr="00FC1AF4" w:rsidRDefault="00FC1AF4" w:rsidP="007A3DF7">
      <w:pPr>
        <w:spacing w:line="360" w:lineRule="auto"/>
        <w:rPr>
          <w:rFonts w:ascii="Times New Roman" w:hAnsi="Times New Roman" w:cs="Times New Roman"/>
          <w:b/>
          <w:bCs/>
          <w:sz w:val="28"/>
          <w:szCs w:val="28"/>
        </w:rPr>
      </w:pPr>
      <w:r w:rsidRPr="00FC1AF4">
        <w:rPr>
          <w:rFonts w:ascii="Times New Roman" w:hAnsi="Times New Roman" w:cs="Times New Roman"/>
          <w:b/>
          <w:bCs/>
          <w:sz w:val="28"/>
          <w:szCs w:val="28"/>
        </w:rPr>
        <w:t>1. Introduction</w:t>
      </w:r>
    </w:p>
    <w:p w14:paraId="0CAAF836" w14:textId="4EC81069" w:rsidR="0089297D" w:rsidRDefault="00FC1AF4" w:rsidP="007A3DF7">
      <w:pPr>
        <w:spacing w:line="360" w:lineRule="auto"/>
        <w:rPr>
          <w:rFonts w:ascii="Times New Roman" w:hAnsi="Times New Roman" w:cs="Times New Roman"/>
        </w:rPr>
      </w:pPr>
      <w:r w:rsidRPr="00FC1AF4">
        <w:rPr>
          <w:rFonts w:ascii="Times New Roman" w:hAnsi="Times New Roman" w:cs="Times New Roman"/>
        </w:rPr>
        <w:t xml:space="preserve">This report provides a comprehensive financial performance analysis of </w:t>
      </w:r>
      <w:r w:rsidRPr="00FC1AF4">
        <w:rPr>
          <w:rFonts w:ascii="Times New Roman" w:hAnsi="Times New Roman" w:cs="Times New Roman"/>
          <w:b/>
          <w:bCs/>
        </w:rPr>
        <w:t>PepsiCo</w:t>
      </w:r>
      <w:r w:rsidRPr="00FC1AF4">
        <w:rPr>
          <w:rFonts w:ascii="Times New Roman" w:hAnsi="Times New Roman" w:cs="Times New Roman"/>
        </w:rPr>
        <w:t xml:space="preserve"> and </w:t>
      </w:r>
      <w:r w:rsidRPr="00FC1AF4">
        <w:rPr>
          <w:rFonts w:ascii="Times New Roman" w:hAnsi="Times New Roman" w:cs="Times New Roman"/>
          <w:b/>
          <w:bCs/>
        </w:rPr>
        <w:t>Coca-Cola</w:t>
      </w:r>
      <w:r w:rsidRPr="00FC1AF4">
        <w:rPr>
          <w:rFonts w:ascii="Times New Roman" w:hAnsi="Times New Roman" w:cs="Times New Roman"/>
        </w:rPr>
        <w:t xml:space="preserve"> using stock market data. The objective is to evaluate trends, understand market </w:t>
      </w:r>
      <w:r w:rsidR="00E86FD4" w:rsidRPr="00FC1AF4">
        <w:rPr>
          <w:rFonts w:ascii="Times New Roman" w:hAnsi="Times New Roman" w:cs="Times New Roman"/>
        </w:rPr>
        <w:t>behaviour</w:t>
      </w:r>
      <w:r w:rsidRPr="00FC1AF4">
        <w:rPr>
          <w:rFonts w:ascii="Times New Roman" w:hAnsi="Times New Roman" w:cs="Times New Roman"/>
        </w:rPr>
        <w:t xml:space="preserve">, and assess the comparative performance of these </w:t>
      </w:r>
      <w:r w:rsidRPr="00FC1AF4">
        <w:rPr>
          <w:rFonts w:ascii="Times New Roman" w:hAnsi="Times New Roman" w:cs="Times New Roman"/>
          <w:b/>
          <w:bCs/>
        </w:rPr>
        <w:t>leading beverage companies</w:t>
      </w:r>
      <w:r w:rsidRPr="00FC1AF4">
        <w:rPr>
          <w:rFonts w:ascii="Times New Roman" w:hAnsi="Times New Roman" w:cs="Times New Roman"/>
        </w:rPr>
        <w:t xml:space="preserve">. The analysis uses Excel for visualization and statistical evaluation, with a focus on four key graphical representations: </w:t>
      </w:r>
    </w:p>
    <w:p w14:paraId="12EBF7C3" w14:textId="018CABE4" w:rsidR="0089297D" w:rsidRPr="0089297D" w:rsidRDefault="00FC1AF4" w:rsidP="007A3DF7">
      <w:pPr>
        <w:pStyle w:val="ListParagraph"/>
        <w:numPr>
          <w:ilvl w:val="0"/>
          <w:numId w:val="22"/>
        </w:numPr>
        <w:spacing w:line="360" w:lineRule="auto"/>
        <w:rPr>
          <w:rFonts w:ascii="Times New Roman" w:hAnsi="Times New Roman" w:cs="Times New Roman"/>
        </w:rPr>
      </w:pPr>
      <w:r w:rsidRPr="0089297D">
        <w:rPr>
          <w:rFonts w:ascii="Times New Roman" w:hAnsi="Times New Roman" w:cs="Times New Roman"/>
        </w:rPr>
        <w:t>Stock Price Trend,</w:t>
      </w:r>
    </w:p>
    <w:p w14:paraId="3D95F00E" w14:textId="277C93EA" w:rsidR="0089297D" w:rsidRPr="0089297D" w:rsidRDefault="00FC1AF4" w:rsidP="007A3DF7">
      <w:pPr>
        <w:pStyle w:val="ListParagraph"/>
        <w:numPr>
          <w:ilvl w:val="0"/>
          <w:numId w:val="22"/>
        </w:numPr>
        <w:spacing w:line="360" w:lineRule="auto"/>
        <w:rPr>
          <w:rFonts w:ascii="Times New Roman" w:hAnsi="Times New Roman" w:cs="Times New Roman"/>
        </w:rPr>
      </w:pPr>
      <w:r w:rsidRPr="0089297D">
        <w:rPr>
          <w:rFonts w:ascii="Times New Roman" w:hAnsi="Times New Roman" w:cs="Times New Roman"/>
        </w:rPr>
        <w:t>High vs. Low Price Trend,</w:t>
      </w:r>
    </w:p>
    <w:p w14:paraId="4116C677" w14:textId="7334D1CD" w:rsidR="0089297D" w:rsidRPr="0089297D" w:rsidRDefault="00FC1AF4" w:rsidP="007A3DF7">
      <w:pPr>
        <w:pStyle w:val="ListParagraph"/>
        <w:numPr>
          <w:ilvl w:val="0"/>
          <w:numId w:val="22"/>
        </w:numPr>
        <w:spacing w:line="360" w:lineRule="auto"/>
        <w:rPr>
          <w:rFonts w:ascii="Times New Roman" w:hAnsi="Times New Roman" w:cs="Times New Roman"/>
        </w:rPr>
      </w:pPr>
      <w:r w:rsidRPr="0089297D">
        <w:rPr>
          <w:rFonts w:ascii="Times New Roman" w:hAnsi="Times New Roman" w:cs="Times New Roman"/>
        </w:rPr>
        <w:t xml:space="preserve">Trading Volume Analysis, </w:t>
      </w:r>
    </w:p>
    <w:p w14:paraId="11E4069C" w14:textId="21C89FC5" w:rsidR="00FC1AF4" w:rsidRPr="0089297D" w:rsidRDefault="00FC1AF4" w:rsidP="007A3DF7">
      <w:pPr>
        <w:pStyle w:val="ListParagraph"/>
        <w:numPr>
          <w:ilvl w:val="0"/>
          <w:numId w:val="22"/>
        </w:numPr>
        <w:spacing w:line="360" w:lineRule="auto"/>
        <w:rPr>
          <w:rFonts w:ascii="Times New Roman" w:hAnsi="Times New Roman" w:cs="Times New Roman"/>
        </w:rPr>
      </w:pPr>
      <w:r w:rsidRPr="0089297D">
        <w:rPr>
          <w:rFonts w:ascii="Times New Roman" w:hAnsi="Times New Roman" w:cs="Times New Roman"/>
        </w:rPr>
        <w:t>Moving Average Trend.</w:t>
      </w:r>
    </w:p>
    <w:p w14:paraId="4247FA66" w14:textId="77777777" w:rsidR="0089297D" w:rsidRPr="0089297D" w:rsidRDefault="0089297D" w:rsidP="007A3DF7">
      <w:pPr>
        <w:spacing w:line="360" w:lineRule="auto"/>
        <w:rPr>
          <w:rFonts w:ascii="Times New Roman" w:hAnsi="Times New Roman" w:cs="Times New Roman"/>
          <w:b/>
          <w:bCs/>
          <w:sz w:val="28"/>
          <w:szCs w:val="28"/>
        </w:rPr>
      </w:pPr>
    </w:p>
    <w:p w14:paraId="73DE4A76" w14:textId="738B4E4E" w:rsidR="00FC1AF4" w:rsidRPr="00FC1AF4" w:rsidRDefault="00FC1AF4" w:rsidP="007A3DF7">
      <w:pPr>
        <w:spacing w:line="360" w:lineRule="auto"/>
        <w:rPr>
          <w:rFonts w:ascii="Times New Roman" w:hAnsi="Times New Roman" w:cs="Times New Roman"/>
          <w:b/>
          <w:bCs/>
          <w:sz w:val="28"/>
          <w:szCs w:val="28"/>
        </w:rPr>
      </w:pPr>
      <w:r w:rsidRPr="00FC1AF4">
        <w:rPr>
          <w:rFonts w:ascii="Times New Roman" w:hAnsi="Times New Roman" w:cs="Times New Roman"/>
          <w:b/>
          <w:bCs/>
          <w:sz w:val="28"/>
          <w:szCs w:val="28"/>
        </w:rPr>
        <w:t>2. Justification for Choosing the Data Source and Variables</w:t>
      </w:r>
    </w:p>
    <w:p w14:paraId="31DB8F1F" w14:textId="77777777" w:rsidR="00FC1AF4" w:rsidRPr="00FC1AF4" w:rsidRDefault="00FC1AF4" w:rsidP="007A3DF7">
      <w:pPr>
        <w:spacing w:line="360" w:lineRule="auto"/>
        <w:rPr>
          <w:rFonts w:ascii="Times New Roman" w:hAnsi="Times New Roman" w:cs="Times New Roman"/>
        </w:rPr>
      </w:pPr>
      <w:r w:rsidRPr="00FC1AF4">
        <w:rPr>
          <w:rFonts w:ascii="Times New Roman" w:hAnsi="Times New Roman" w:cs="Times New Roman"/>
        </w:rPr>
        <w:t xml:space="preserve">The stock market data for </w:t>
      </w:r>
      <w:r w:rsidRPr="00FC1AF4">
        <w:rPr>
          <w:rFonts w:ascii="Times New Roman" w:hAnsi="Times New Roman" w:cs="Times New Roman"/>
          <w:b/>
          <w:bCs/>
        </w:rPr>
        <w:t>PepsiCo and Coca-Cola</w:t>
      </w:r>
      <w:r w:rsidRPr="00FC1AF4">
        <w:rPr>
          <w:rFonts w:ascii="Times New Roman" w:hAnsi="Times New Roman" w:cs="Times New Roman"/>
        </w:rPr>
        <w:t xml:space="preserve"> was sourced from a reliable financial database, ensuring accuracy and comprehensiveness. The variables chosen for analysis include:</w:t>
      </w:r>
    </w:p>
    <w:p w14:paraId="4F0E74A6" w14:textId="77777777" w:rsidR="00FC1AF4" w:rsidRPr="00FC1AF4" w:rsidRDefault="00FC1AF4" w:rsidP="007A3DF7">
      <w:pPr>
        <w:numPr>
          <w:ilvl w:val="0"/>
          <w:numId w:val="18"/>
        </w:numPr>
        <w:spacing w:line="360" w:lineRule="auto"/>
        <w:rPr>
          <w:rFonts w:ascii="Times New Roman" w:hAnsi="Times New Roman" w:cs="Times New Roman"/>
        </w:rPr>
      </w:pPr>
      <w:r w:rsidRPr="00FC1AF4">
        <w:rPr>
          <w:rFonts w:ascii="Times New Roman" w:hAnsi="Times New Roman" w:cs="Times New Roman"/>
          <w:b/>
          <w:bCs/>
        </w:rPr>
        <w:t>Date</w:t>
      </w:r>
      <w:r w:rsidRPr="00FC1AF4">
        <w:rPr>
          <w:rFonts w:ascii="Times New Roman" w:hAnsi="Times New Roman" w:cs="Times New Roman"/>
        </w:rPr>
        <w:t>: To track time-series trends.</w:t>
      </w:r>
    </w:p>
    <w:p w14:paraId="789DDCB8" w14:textId="77777777" w:rsidR="00FC1AF4" w:rsidRPr="00FC1AF4" w:rsidRDefault="00FC1AF4" w:rsidP="007A3DF7">
      <w:pPr>
        <w:numPr>
          <w:ilvl w:val="0"/>
          <w:numId w:val="18"/>
        </w:numPr>
        <w:spacing w:line="360" w:lineRule="auto"/>
        <w:rPr>
          <w:rFonts w:ascii="Times New Roman" w:hAnsi="Times New Roman" w:cs="Times New Roman"/>
        </w:rPr>
      </w:pPr>
      <w:r w:rsidRPr="00FC1AF4">
        <w:rPr>
          <w:rFonts w:ascii="Times New Roman" w:hAnsi="Times New Roman" w:cs="Times New Roman"/>
          <w:b/>
          <w:bCs/>
        </w:rPr>
        <w:t>Open and Close Prices</w:t>
      </w:r>
      <w:r w:rsidRPr="00FC1AF4">
        <w:rPr>
          <w:rFonts w:ascii="Times New Roman" w:hAnsi="Times New Roman" w:cs="Times New Roman"/>
        </w:rPr>
        <w:t>: Reflecting daily market performance.</w:t>
      </w:r>
    </w:p>
    <w:p w14:paraId="5B296592" w14:textId="77777777" w:rsidR="00FC1AF4" w:rsidRPr="00FC1AF4" w:rsidRDefault="00FC1AF4" w:rsidP="007A3DF7">
      <w:pPr>
        <w:numPr>
          <w:ilvl w:val="0"/>
          <w:numId w:val="18"/>
        </w:numPr>
        <w:spacing w:line="360" w:lineRule="auto"/>
        <w:rPr>
          <w:rFonts w:ascii="Times New Roman" w:hAnsi="Times New Roman" w:cs="Times New Roman"/>
        </w:rPr>
      </w:pPr>
      <w:r w:rsidRPr="00FC1AF4">
        <w:rPr>
          <w:rFonts w:ascii="Times New Roman" w:hAnsi="Times New Roman" w:cs="Times New Roman"/>
          <w:b/>
          <w:bCs/>
        </w:rPr>
        <w:t>High and Low Prices</w:t>
      </w:r>
      <w:r w:rsidRPr="00FC1AF4">
        <w:rPr>
          <w:rFonts w:ascii="Times New Roman" w:hAnsi="Times New Roman" w:cs="Times New Roman"/>
        </w:rPr>
        <w:t>: Identifying volatility and price fluctuation.</w:t>
      </w:r>
    </w:p>
    <w:p w14:paraId="5E2A6D13" w14:textId="77777777" w:rsidR="00FC1AF4" w:rsidRPr="00FC1AF4" w:rsidRDefault="00FC1AF4" w:rsidP="007A3DF7">
      <w:pPr>
        <w:numPr>
          <w:ilvl w:val="0"/>
          <w:numId w:val="18"/>
        </w:numPr>
        <w:spacing w:line="360" w:lineRule="auto"/>
        <w:rPr>
          <w:rFonts w:ascii="Times New Roman" w:hAnsi="Times New Roman" w:cs="Times New Roman"/>
        </w:rPr>
      </w:pPr>
      <w:r w:rsidRPr="00FC1AF4">
        <w:rPr>
          <w:rFonts w:ascii="Times New Roman" w:hAnsi="Times New Roman" w:cs="Times New Roman"/>
          <w:b/>
          <w:bCs/>
        </w:rPr>
        <w:t>Volume</w:t>
      </w:r>
      <w:r w:rsidRPr="00FC1AF4">
        <w:rPr>
          <w:rFonts w:ascii="Times New Roman" w:hAnsi="Times New Roman" w:cs="Times New Roman"/>
        </w:rPr>
        <w:t>: Indicating investor interest and market liquidity.</w:t>
      </w:r>
    </w:p>
    <w:p w14:paraId="08536BEB" w14:textId="77777777" w:rsidR="0089297D" w:rsidRDefault="0089297D" w:rsidP="00FC1AF4">
      <w:pPr>
        <w:rPr>
          <w:rFonts w:ascii="Times New Roman" w:hAnsi="Times New Roman" w:cs="Times New Roman"/>
        </w:rPr>
      </w:pPr>
    </w:p>
    <w:p w14:paraId="7A6DC3ED" w14:textId="77777777" w:rsidR="009920BF" w:rsidRDefault="009920BF" w:rsidP="00FC1AF4">
      <w:pPr>
        <w:rPr>
          <w:rFonts w:ascii="Times New Roman" w:hAnsi="Times New Roman" w:cs="Times New Roman"/>
        </w:rPr>
      </w:pPr>
    </w:p>
    <w:p w14:paraId="5627A2B3" w14:textId="77777777" w:rsidR="009920BF" w:rsidRDefault="009920BF" w:rsidP="00FC1AF4">
      <w:pPr>
        <w:rPr>
          <w:rFonts w:ascii="Times New Roman" w:hAnsi="Times New Roman" w:cs="Times New Roman"/>
        </w:rPr>
      </w:pPr>
    </w:p>
    <w:p w14:paraId="24C60291" w14:textId="77777777" w:rsidR="009920BF" w:rsidRDefault="009920BF" w:rsidP="00FC1AF4">
      <w:pPr>
        <w:rPr>
          <w:rFonts w:ascii="Times New Roman" w:hAnsi="Times New Roman" w:cs="Times New Roman"/>
          <w:b/>
          <w:bCs/>
        </w:rPr>
      </w:pPr>
    </w:p>
    <w:p w14:paraId="703C4CFB" w14:textId="77777777" w:rsidR="007A4BBD" w:rsidRDefault="007A4BBD" w:rsidP="00FC1AF4">
      <w:pPr>
        <w:rPr>
          <w:rFonts w:ascii="Times New Roman" w:hAnsi="Times New Roman" w:cs="Times New Roman"/>
          <w:b/>
          <w:bCs/>
          <w:sz w:val="28"/>
          <w:szCs w:val="28"/>
        </w:rPr>
      </w:pPr>
    </w:p>
    <w:p w14:paraId="5779DA20" w14:textId="77777777" w:rsidR="007A4BBD" w:rsidRDefault="007A4BBD" w:rsidP="00FC1AF4">
      <w:pPr>
        <w:rPr>
          <w:rFonts w:ascii="Times New Roman" w:hAnsi="Times New Roman" w:cs="Times New Roman"/>
          <w:b/>
          <w:bCs/>
          <w:sz w:val="28"/>
          <w:szCs w:val="28"/>
        </w:rPr>
      </w:pPr>
    </w:p>
    <w:p w14:paraId="59C3607A" w14:textId="77777777" w:rsidR="007A4BBD" w:rsidRDefault="007A4BBD" w:rsidP="00FC1AF4">
      <w:pPr>
        <w:rPr>
          <w:rFonts w:ascii="Times New Roman" w:hAnsi="Times New Roman" w:cs="Times New Roman"/>
          <w:b/>
          <w:bCs/>
          <w:sz w:val="28"/>
          <w:szCs w:val="28"/>
        </w:rPr>
      </w:pPr>
    </w:p>
    <w:p w14:paraId="715ABB06" w14:textId="77777777" w:rsidR="007A4BBD" w:rsidRDefault="007A4BBD" w:rsidP="00FC1AF4">
      <w:pPr>
        <w:rPr>
          <w:rFonts w:ascii="Times New Roman" w:hAnsi="Times New Roman" w:cs="Times New Roman"/>
          <w:b/>
          <w:bCs/>
          <w:sz w:val="28"/>
          <w:szCs w:val="28"/>
        </w:rPr>
      </w:pPr>
    </w:p>
    <w:p w14:paraId="5D0DFBC8" w14:textId="43533BD3" w:rsidR="00FC1AF4" w:rsidRPr="00FC1AF4" w:rsidRDefault="00FC1AF4" w:rsidP="00FC1AF4">
      <w:pPr>
        <w:rPr>
          <w:rFonts w:ascii="Times New Roman" w:hAnsi="Times New Roman" w:cs="Times New Roman"/>
          <w:b/>
          <w:bCs/>
          <w:sz w:val="28"/>
          <w:szCs w:val="28"/>
        </w:rPr>
      </w:pPr>
      <w:r w:rsidRPr="00FC1AF4">
        <w:rPr>
          <w:rFonts w:ascii="Times New Roman" w:hAnsi="Times New Roman" w:cs="Times New Roman"/>
          <w:b/>
          <w:bCs/>
          <w:sz w:val="28"/>
          <w:szCs w:val="28"/>
        </w:rPr>
        <w:t>3. Methodology and Statistical Tools</w:t>
      </w:r>
    </w:p>
    <w:p w14:paraId="1A00A11C" w14:textId="65703BEE" w:rsidR="00AA75A8" w:rsidRDefault="00FC1AF4" w:rsidP="007A4BBD">
      <w:pPr>
        <w:ind w:left="720"/>
        <w:rPr>
          <w:rFonts w:ascii="Times New Roman" w:hAnsi="Times New Roman" w:cs="Times New Roman"/>
        </w:rPr>
      </w:pPr>
      <w:r w:rsidRPr="00FC1AF4">
        <w:rPr>
          <w:rFonts w:ascii="Times New Roman" w:hAnsi="Times New Roman" w:cs="Times New Roman"/>
        </w:rPr>
        <w:t>.</w:t>
      </w:r>
      <w:r w:rsidRPr="00FC1AF4">
        <w:rPr>
          <w:rFonts w:ascii="Times New Roman" w:hAnsi="Times New Roman" w:cs="Times New Roman"/>
          <w:b/>
          <w:bCs/>
        </w:rPr>
        <w:t>Descriptive Statisti</w:t>
      </w:r>
      <w:r w:rsidR="007A4BBD">
        <w:rPr>
          <w:rFonts w:ascii="Times New Roman" w:hAnsi="Times New Roman" w:cs="Times New Roman"/>
          <w:b/>
          <w:bCs/>
        </w:rPr>
        <w:t>cs</w:t>
      </w:r>
    </w:p>
    <w:p w14:paraId="7396A0FB" w14:textId="3362E277" w:rsidR="00AA75A8" w:rsidRDefault="0042589F" w:rsidP="00A71461">
      <w:pPr>
        <w:rPr>
          <w:rFonts w:ascii="Times New Roman" w:hAnsi="Times New Roman" w:cs="Times New Roman"/>
        </w:rPr>
      </w:pPr>
      <w:r>
        <w:rPr>
          <w:rFonts w:ascii="Times New Roman" w:hAnsi="Times New Roman" w:cs="Times New Roman"/>
          <w:b/>
          <w:bCs/>
        </w:rPr>
        <w:t xml:space="preserve">                                                   </w:t>
      </w:r>
      <w:r w:rsidRPr="00FC1AF4">
        <w:rPr>
          <w:rFonts w:ascii="Times New Roman" w:hAnsi="Times New Roman" w:cs="Times New Roman"/>
          <w:b/>
          <w:bCs/>
        </w:rPr>
        <w:t>PepsiCo</w:t>
      </w:r>
    </w:p>
    <w:p w14:paraId="061521E5" w14:textId="77777777" w:rsidR="00A71461" w:rsidRDefault="00A71461" w:rsidP="00A71461">
      <w:pPr>
        <w:rPr>
          <w:rFonts w:ascii="Times New Roman" w:hAnsi="Times New Roman" w:cs="Times New Roman"/>
        </w:rPr>
      </w:pPr>
    </w:p>
    <w:tbl>
      <w:tblPr>
        <w:tblW w:w="6717" w:type="dxa"/>
        <w:tblLook w:val="04A0" w:firstRow="1" w:lastRow="0" w:firstColumn="1" w:lastColumn="0" w:noHBand="0" w:noVBand="1"/>
      </w:tblPr>
      <w:tblGrid>
        <w:gridCol w:w="2826"/>
        <w:gridCol w:w="1998"/>
        <w:gridCol w:w="1893"/>
      </w:tblGrid>
      <w:tr w:rsidR="0042589F" w:rsidRPr="0042589F" w14:paraId="2849BAED" w14:textId="77777777" w:rsidTr="0042589F">
        <w:trPr>
          <w:trHeight w:val="444"/>
        </w:trPr>
        <w:tc>
          <w:tcPr>
            <w:tcW w:w="6717" w:type="dxa"/>
            <w:gridSpan w:val="3"/>
            <w:tcBorders>
              <w:top w:val="nil"/>
              <w:left w:val="nil"/>
              <w:bottom w:val="nil"/>
              <w:right w:val="nil"/>
            </w:tcBorders>
            <w:shd w:val="clear" w:color="000000" w:fill="FCE4D6"/>
            <w:noWrap/>
            <w:vAlign w:val="bottom"/>
            <w:hideMark/>
          </w:tcPr>
          <w:p w14:paraId="4F19B536" w14:textId="77777777" w:rsidR="0042589F" w:rsidRPr="0042589F" w:rsidRDefault="0042589F" w:rsidP="0042589F">
            <w:pPr>
              <w:spacing w:after="0" w:line="240" w:lineRule="auto"/>
              <w:jc w:val="center"/>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Descriptive Statistics</w:t>
            </w:r>
          </w:p>
        </w:tc>
      </w:tr>
      <w:tr w:rsidR="0042589F" w:rsidRPr="0042589F" w14:paraId="196B23FE" w14:textId="77777777" w:rsidTr="0042589F">
        <w:trPr>
          <w:trHeight w:val="444"/>
        </w:trPr>
        <w:tc>
          <w:tcPr>
            <w:tcW w:w="2826" w:type="dxa"/>
            <w:tcBorders>
              <w:top w:val="nil"/>
              <w:left w:val="nil"/>
              <w:bottom w:val="single" w:sz="4" w:space="0" w:color="FFFFFF"/>
              <w:right w:val="single" w:sz="4" w:space="0" w:color="FFFFFF"/>
            </w:tcBorders>
            <w:shd w:val="clear" w:color="FCE4D6" w:fill="FCE4D6"/>
            <w:noWrap/>
            <w:vAlign w:val="bottom"/>
            <w:hideMark/>
          </w:tcPr>
          <w:p w14:paraId="2F94D590"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 </w:t>
            </w:r>
          </w:p>
        </w:tc>
        <w:tc>
          <w:tcPr>
            <w:tcW w:w="1998" w:type="dxa"/>
            <w:tcBorders>
              <w:top w:val="nil"/>
              <w:left w:val="nil"/>
              <w:bottom w:val="single" w:sz="4" w:space="0" w:color="FFFFFF"/>
              <w:right w:val="single" w:sz="4" w:space="0" w:color="FFFFFF"/>
            </w:tcBorders>
            <w:shd w:val="clear" w:color="FCE4D6" w:fill="FCE4D6"/>
            <w:noWrap/>
            <w:vAlign w:val="bottom"/>
            <w:hideMark/>
          </w:tcPr>
          <w:p w14:paraId="7BD1C961"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CLOSE/LAST</w:t>
            </w:r>
          </w:p>
        </w:tc>
        <w:tc>
          <w:tcPr>
            <w:tcW w:w="1892" w:type="dxa"/>
            <w:tcBorders>
              <w:top w:val="nil"/>
              <w:left w:val="nil"/>
              <w:bottom w:val="single" w:sz="4" w:space="0" w:color="FFFFFF"/>
              <w:right w:val="single" w:sz="4" w:space="0" w:color="FFFFFF"/>
            </w:tcBorders>
            <w:shd w:val="clear" w:color="FCE4D6" w:fill="FCE4D6"/>
            <w:noWrap/>
            <w:vAlign w:val="bottom"/>
            <w:hideMark/>
          </w:tcPr>
          <w:p w14:paraId="3A2786CC"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VOLUME</w:t>
            </w:r>
          </w:p>
        </w:tc>
      </w:tr>
      <w:tr w:rsidR="0042589F" w:rsidRPr="0042589F" w14:paraId="7045FE87" w14:textId="77777777" w:rsidTr="0042589F">
        <w:trPr>
          <w:trHeight w:val="444"/>
        </w:trPr>
        <w:tc>
          <w:tcPr>
            <w:tcW w:w="2826" w:type="dxa"/>
            <w:tcBorders>
              <w:top w:val="nil"/>
              <w:left w:val="nil"/>
              <w:bottom w:val="single" w:sz="4" w:space="0" w:color="FFFFFF"/>
              <w:right w:val="single" w:sz="4" w:space="0" w:color="FFFFFF"/>
            </w:tcBorders>
            <w:shd w:val="clear" w:color="FCE4D6" w:fill="FCE4D6"/>
            <w:noWrap/>
            <w:vAlign w:val="bottom"/>
            <w:hideMark/>
          </w:tcPr>
          <w:p w14:paraId="3E507F9F"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Mean</w:t>
            </w:r>
          </w:p>
        </w:tc>
        <w:tc>
          <w:tcPr>
            <w:tcW w:w="1998" w:type="dxa"/>
            <w:tcBorders>
              <w:top w:val="nil"/>
              <w:left w:val="single" w:sz="4" w:space="0" w:color="FFFFFF"/>
              <w:bottom w:val="single" w:sz="4" w:space="0" w:color="FFFFFF"/>
              <w:right w:val="single" w:sz="4" w:space="0" w:color="FFFFFF"/>
            </w:tcBorders>
            <w:shd w:val="clear" w:color="FCE4D6" w:fill="FCE4D6"/>
            <w:noWrap/>
            <w:vAlign w:val="bottom"/>
            <w:hideMark/>
          </w:tcPr>
          <w:p w14:paraId="313CC104"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157.3892929</w:t>
            </w:r>
          </w:p>
        </w:tc>
        <w:tc>
          <w:tcPr>
            <w:tcW w:w="1892" w:type="dxa"/>
            <w:tcBorders>
              <w:top w:val="nil"/>
              <w:left w:val="single" w:sz="4" w:space="0" w:color="FFFFFF"/>
              <w:bottom w:val="single" w:sz="4" w:space="0" w:color="FFFFFF"/>
              <w:right w:val="nil"/>
            </w:tcBorders>
            <w:shd w:val="clear" w:color="FCE4D6" w:fill="FCE4D6"/>
            <w:noWrap/>
            <w:vAlign w:val="bottom"/>
            <w:hideMark/>
          </w:tcPr>
          <w:p w14:paraId="02C59085"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6382227.525</w:t>
            </w:r>
          </w:p>
        </w:tc>
      </w:tr>
      <w:tr w:rsidR="0042589F" w:rsidRPr="0042589F" w14:paraId="281DCD7C" w14:textId="77777777" w:rsidTr="0042589F">
        <w:trPr>
          <w:trHeight w:val="444"/>
        </w:trPr>
        <w:tc>
          <w:tcPr>
            <w:tcW w:w="2826" w:type="dxa"/>
            <w:tcBorders>
              <w:top w:val="single" w:sz="4" w:space="0" w:color="FFFFFF"/>
              <w:left w:val="nil"/>
              <w:bottom w:val="single" w:sz="4" w:space="0" w:color="FFFFFF"/>
              <w:right w:val="single" w:sz="4" w:space="0" w:color="FFFFFF"/>
            </w:tcBorders>
            <w:shd w:val="clear" w:color="FCE4D6" w:fill="FCE4D6"/>
            <w:noWrap/>
            <w:vAlign w:val="bottom"/>
            <w:hideMark/>
          </w:tcPr>
          <w:p w14:paraId="4842746F"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Standard Error</w:t>
            </w:r>
          </w:p>
        </w:tc>
        <w:tc>
          <w:tcPr>
            <w:tcW w:w="1998"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3879ACC1"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0.980106034</w:t>
            </w:r>
          </w:p>
        </w:tc>
        <w:tc>
          <w:tcPr>
            <w:tcW w:w="1892" w:type="dxa"/>
            <w:tcBorders>
              <w:top w:val="single" w:sz="4" w:space="0" w:color="FFFFFF"/>
              <w:left w:val="single" w:sz="4" w:space="0" w:color="FFFFFF"/>
              <w:bottom w:val="single" w:sz="4" w:space="0" w:color="FFFFFF"/>
              <w:right w:val="nil"/>
            </w:tcBorders>
            <w:shd w:val="clear" w:color="FCE4D6" w:fill="FCE4D6"/>
            <w:noWrap/>
            <w:vAlign w:val="bottom"/>
            <w:hideMark/>
          </w:tcPr>
          <w:p w14:paraId="2EE52734"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228635.2675</w:t>
            </w:r>
          </w:p>
        </w:tc>
      </w:tr>
      <w:tr w:rsidR="0042589F" w:rsidRPr="0042589F" w14:paraId="7545E64B" w14:textId="77777777" w:rsidTr="0042589F">
        <w:trPr>
          <w:trHeight w:val="444"/>
        </w:trPr>
        <w:tc>
          <w:tcPr>
            <w:tcW w:w="2826" w:type="dxa"/>
            <w:tcBorders>
              <w:top w:val="single" w:sz="4" w:space="0" w:color="FFFFFF"/>
              <w:left w:val="nil"/>
              <w:bottom w:val="single" w:sz="4" w:space="0" w:color="FFFFFF"/>
              <w:right w:val="single" w:sz="4" w:space="0" w:color="FFFFFF"/>
            </w:tcBorders>
            <w:shd w:val="clear" w:color="FCE4D6" w:fill="FCE4D6"/>
            <w:noWrap/>
            <w:vAlign w:val="bottom"/>
            <w:hideMark/>
          </w:tcPr>
          <w:p w14:paraId="1A60CE7D"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Median</w:t>
            </w:r>
          </w:p>
        </w:tc>
        <w:tc>
          <w:tcPr>
            <w:tcW w:w="1998"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0EDE4CFB"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156.42</w:t>
            </w:r>
          </w:p>
        </w:tc>
        <w:tc>
          <w:tcPr>
            <w:tcW w:w="1892" w:type="dxa"/>
            <w:tcBorders>
              <w:top w:val="single" w:sz="4" w:space="0" w:color="FFFFFF"/>
              <w:left w:val="single" w:sz="4" w:space="0" w:color="FFFFFF"/>
              <w:bottom w:val="single" w:sz="4" w:space="0" w:color="FFFFFF"/>
              <w:right w:val="nil"/>
            </w:tcBorders>
            <w:shd w:val="clear" w:color="FCE4D6" w:fill="FCE4D6"/>
            <w:noWrap/>
            <w:vAlign w:val="bottom"/>
            <w:hideMark/>
          </w:tcPr>
          <w:p w14:paraId="013BFC2C"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5846256</w:t>
            </w:r>
          </w:p>
        </w:tc>
      </w:tr>
      <w:tr w:rsidR="0042589F" w:rsidRPr="0042589F" w14:paraId="288BF642" w14:textId="77777777" w:rsidTr="0042589F">
        <w:trPr>
          <w:trHeight w:val="444"/>
        </w:trPr>
        <w:tc>
          <w:tcPr>
            <w:tcW w:w="2826" w:type="dxa"/>
            <w:tcBorders>
              <w:top w:val="single" w:sz="4" w:space="0" w:color="FFFFFF"/>
              <w:left w:val="nil"/>
              <w:bottom w:val="single" w:sz="4" w:space="0" w:color="FFFFFF"/>
              <w:right w:val="single" w:sz="4" w:space="0" w:color="FFFFFF"/>
            </w:tcBorders>
            <w:shd w:val="clear" w:color="FCE4D6" w:fill="FCE4D6"/>
            <w:noWrap/>
            <w:vAlign w:val="bottom"/>
            <w:hideMark/>
          </w:tcPr>
          <w:p w14:paraId="15A0C1F0"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Mode</w:t>
            </w:r>
          </w:p>
        </w:tc>
        <w:tc>
          <w:tcPr>
            <w:tcW w:w="1998"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533CC869"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144.58</w:t>
            </w:r>
          </w:p>
        </w:tc>
        <w:tc>
          <w:tcPr>
            <w:tcW w:w="1892" w:type="dxa"/>
            <w:tcBorders>
              <w:top w:val="single" w:sz="4" w:space="0" w:color="FFFFFF"/>
              <w:left w:val="single" w:sz="4" w:space="0" w:color="FFFFFF"/>
              <w:bottom w:val="single" w:sz="4" w:space="0" w:color="FFFFFF"/>
              <w:right w:val="nil"/>
            </w:tcBorders>
            <w:shd w:val="clear" w:color="FCE4D6" w:fill="FCE4D6"/>
            <w:noWrap/>
            <w:vAlign w:val="bottom"/>
            <w:hideMark/>
          </w:tcPr>
          <w:p w14:paraId="5DE15523" w14:textId="77777777" w:rsidR="0042589F" w:rsidRPr="0042589F" w:rsidRDefault="0042589F" w:rsidP="0042589F">
            <w:pPr>
              <w:spacing w:after="0" w:line="240" w:lineRule="auto"/>
              <w:jc w:val="center"/>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#N/A</w:t>
            </w:r>
          </w:p>
        </w:tc>
      </w:tr>
      <w:tr w:rsidR="0042589F" w:rsidRPr="0042589F" w14:paraId="311E2965" w14:textId="77777777" w:rsidTr="0042589F">
        <w:trPr>
          <w:trHeight w:val="444"/>
        </w:trPr>
        <w:tc>
          <w:tcPr>
            <w:tcW w:w="2826" w:type="dxa"/>
            <w:tcBorders>
              <w:top w:val="single" w:sz="4" w:space="0" w:color="FFFFFF"/>
              <w:left w:val="nil"/>
              <w:bottom w:val="single" w:sz="4" w:space="0" w:color="FFFFFF"/>
              <w:right w:val="single" w:sz="4" w:space="0" w:color="FFFFFF"/>
            </w:tcBorders>
            <w:shd w:val="clear" w:color="FCE4D6" w:fill="FCE4D6"/>
            <w:noWrap/>
            <w:vAlign w:val="bottom"/>
            <w:hideMark/>
          </w:tcPr>
          <w:p w14:paraId="1C7313F3"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Standard Deviation</w:t>
            </w:r>
          </w:p>
        </w:tc>
        <w:tc>
          <w:tcPr>
            <w:tcW w:w="1998"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05D1202E"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9.751931912</w:t>
            </w:r>
          </w:p>
        </w:tc>
        <w:tc>
          <w:tcPr>
            <w:tcW w:w="1892" w:type="dxa"/>
            <w:tcBorders>
              <w:top w:val="single" w:sz="4" w:space="0" w:color="FFFFFF"/>
              <w:left w:val="single" w:sz="4" w:space="0" w:color="FFFFFF"/>
              <w:bottom w:val="single" w:sz="4" w:space="0" w:color="FFFFFF"/>
              <w:right w:val="nil"/>
            </w:tcBorders>
            <w:shd w:val="clear" w:color="FCE4D6" w:fill="FCE4D6"/>
            <w:noWrap/>
            <w:vAlign w:val="bottom"/>
            <w:hideMark/>
          </w:tcPr>
          <w:p w14:paraId="42CC4274"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2274892.188</w:t>
            </w:r>
          </w:p>
        </w:tc>
      </w:tr>
      <w:tr w:rsidR="0042589F" w:rsidRPr="0042589F" w14:paraId="4D0BE77F" w14:textId="77777777" w:rsidTr="0042589F">
        <w:trPr>
          <w:trHeight w:val="444"/>
        </w:trPr>
        <w:tc>
          <w:tcPr>
            <w:tcW w:w="2826" w:type="dxa"/>
            <w:tcBorders>
              <w:top w:val="single" w:sz="4" w:space="0" w:color="FFFFFF"/>
              <w:left w:val="nil"/>
              <w:bottom w:val="single" w:sz="4" w:space="0" w:color="FFFFFF"/>
              <w:right w:val="single" w:sz="4" w:space="0" w:color="FFFFFF"/>
            </w:tcBorders>
            <w:shd w:val="clear" w:color="FCE4D6" w:fill="FCE4D6"/>
            <w:noWrap/>
            <w:vAlign w:val="bottom"/>
            <w:hideMark/>
          </w:tcPr>
          <w:p w14:paraId="6D26C594"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Sample Variance</w:t>
            </w:r>
          </w:p>
        </w:tc>
        <w:tc>
          <w:tcPr>
            <w:tcW w:w="1998"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0376C052"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95.10017603</w:t>
            </w:r>
          </w:p>
        </w:tc>
        <w:tc>
          <w:tcPr>
            <w:tcW w:w="1892" w:type="dxa"/>
            <w:tcBorders>
              <w:top w:val="single" w:sz="4" w:space="0" w:color="FFFFFF"/>
              <w:left w:val="single" w:sz="4" w:space="0" w:color="FFFFFF"/>
              <w:bottom w:val="single" w:sz="4" w:space="0" w:color="FFFFFF"/>
              <w:right w:val="nil"/>
            </w:tcBorders>
            <w:shd w:val="clear" w:color="FCE4D6" w:fill="FCE4D6"/>
            <w:noWrap/>
            <w:vAlign w:val="bottom"/>
            <w:hideMark/>
          </w:tcPr>
          <w:p w14:paraId="7DBCBF82"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5.17513E+12</w:t>
            </w:r>
          </w:p>
        </w:tc>
      </w:tr>
      <w:tr w:rsidR="0042589F" w:rsidRPr="0042589F" w14:paraId="4448F427" w14:textId="77777777" w:rsidTr="0042589F">
        <w:trPr>
          <w:trHeight w:val="444"/>
        </w:trPr>
        <w:tc>
          <w:tcPr>
            <w:tcW w:w="2826" w:type="dxa"/>
            <w:tcBorders>
              <w:top w:val="single" w:sz="4" w:space="0" w:color="FFFFFF"/>
              <w:left w:val="nil"/>
              <w:bottom w:val="single" w:sz="4" w:space="0" w:color="FFFFFF"/>
              <w:right w:val="single" w:sz="4" w:space="0" w:color="FFFFFF"/>
            </w:tcBorders>
            <w:shd w:val="clear" w:color="FCE4D6" w:fill="FCE4D6"/>
            <w:noWrap/>
            <w:vAlign w:val="bottom"/>
            <w:hideMark/>
          </w:tcPr>
          <w:p w14:paraId="5CBCC3FC"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Kurtosis</w:t>
            </w:r>
          </w:p>
        </w:tc>
        <w:tc>
          <w:tcPr>
            <w:tcW w:w="1998"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50B77403"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-1.023981186</w:t>
            </w:r>
          </w:p>
        </w:tc>
        <w:tc>
          <w:tcPr>
            <w:tcW w:w="1892" w:type="dxa"/>
            <w:tcBorders>
              <w:top w:val="single" w:sz="4" w:space="0" w:color="FFFFFF"/>
              <w:left w:val="single" w:sz="4" w:space="0" w:color="FFFFFF"/>
              <w:bottom w:val="single" w:sz="4" w:space="0" w:color="FFFFFF"/>
              <w:right w:val="nil"/>
            </w:tcBorders>
            <w:shd w:val="clear" w:color="FCE4D6" w:fill="FCE4D6"/>
            <w:noWrap/>
            <w:vAlign w:val="bottom"/>
            <w:hideMark/>
          </w:tcPr>
          <w:p w14:paraId="28EA6C49"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9.376371346</w:t>
            </w:r>
          </w:p>
        </w:tc>
      </w:tr>
      <w:tr w:rsidR="0042589F" w:rsidRPr="0042589F" w14:paraId="10551525" w14:textId="77777777" w:rsidTr="0042589F">
        <w:trPr>
          <w:trHeight w:val="444"/>
        </w:trPr>
        <w:tc>
          <w:tcPr>
            <w:tcW w:w="2826" w:type="dxa"/>
            <w:tcBorders>
              <w:top w:val="single" w:sz="4" w:space="0" w:color="FFFFFF"/>
              <w:left w:val="nil"/>
              <w:bottom w:val="single" w:sz="4" w:space="0" w:color="FFFFFF"/>
              <w:right w:val="single" w:sz="4" w:space="0" w:color="FFFFFF"/>
            </w:tcBorders>
            <w:shd w:val="clear" w:color="FCE4D6" w:fill="FCE4D6"/>
            <w:noWrap/>
            <w:vAlign w:val="bottom"/>
            <w:hideMark/>
          </w:tcPr>
          <w:p w14:paraId="3DCB4885"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Skewness</w:t>
            </w:r>
          </w:p>
        </w:tc>
        <w:tc>
          <w:tcPr>
            <w:tcW w:w="1998"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3AA9F3AD"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0.324480813</w:t>
            </w:r>
          </w:p>
        </w:tc>
        <w:tc>
          <w:tcPr>
            <w:tcW w:w="1892" w:type="dxa"/>
            <w:tcBorders>
              <w:top w:val="single" w:sz="4" w:space="0" w:color="FFFFFF"/>
              <w:left w:val="single" w:sz="4" w:space="0" w:color="FFFFFF"/>
              <w:bottom w:val="single" w:sz="4" w:space="0" w:color="FFFFFF"/>
              <w:right w:val="nil"/>
            </w:tcBorders>
            <w:shd w:val="clear" w:color="FCE4D6" w:fill="FCE4D6"/>
            <w:noWrap/>
            <w:vAlign w:val="bottom"/>
            <w:hideMark/>
          </w:tcPr>
          <w:p w14:paraId="24F61A20"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2.167325262</w:t>
            </w:r>
          </w:p>
        </w:tc>
      </w:tr>
      <w:tr w:rsidR="0042589F" w:rsidRPr="0042589F" w14:paraId="3723437D" w14:textId="77777777" w:rsidTr="0042589F">
        <w:trPr>
          <w:trHeight w:val="444"/>
        </w:trPr>
        <w:tc>
          <w:tcPr>
            <w:tcW w:w="2826" w:type="dxa"/>
            <w:tcBorders>
              <w:top w:val="single" w:sz="4" w:space="0" w:color="FFFFFF"/>
              <w:left w:val="nil"/>
              <w:bottom w:val="single" w:sz="4" w:space="0" w:color="FFFFFF"/>
              <w:right w:val="single" w:sz="4" w:space="0" w:color="FFFFFF"/>
            </w:tcBorders>
            <w:shd w:val="clear" w:color="FCE4D6" w:fill="FCE4D6"/>
            <w:noWrap/>
            <w:vAlign w:val="bottom"/>
            <w:hideMark/>
          </w:tcPr>
          <w:p w14:paraId="2B18E5EA"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Range</w:t>
            </w:r>
          </w:p>
        </w:tc>
        <w:tc>
          <w:tcPr>
            <w:tcW w:w="1998"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753901B2"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33.46</w:t>
            </w:r>
          </w:p>
        </w:tc>
        <w:tc>
          <w:tcPr>
            <w:tcW w:w="1892" w:type="dxa"/>
            <w:tcBorders>
              <w:top w:val="single" w:sz="4" w:space="0" w:color="FFFFFF"/>
              <w:left w:val="single" w:sz="4" w:space="0" w:color="FFFFFF"/>
              <w:bottom w:val="single" w:sz="4" w:space="0" w:color="FFFFFF"/>
              <w:right w:val="nil"/>
            </w:tcBorders>
            <w:shd w:val="clear" w:color="FCE4D6" w:fill="FCE4D6"/>
            <w:noWrap/>
            <w:vAlign w:val="bottom"/>
            <w:hideMark/>
          </w:tcPr>
          <w:p w14:paraId="2702F2A4"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16405848</w:t>
            </w:r>
          </w:p>
        </w:tc>
      </w:tr>
      <w:tr w:rsidR="0042589F" w:rsidRPr="0042589F" w14:paraId="241AF20D" w14:textId="77777777" w:rsidTr="0042589F">
        <w:trPr>
          <w:trHeight w:val="444"/>
        </w:trPr>
        <w:tc>
          <w:tcPr>
            <w:tcW w:w="2826" w:type="dxa"/>
            <w:tcBorders>
              <w:top w:val="single" w:sz="4" w:space="0" w:color="FFFFFF"/>
              <w:left w:val="nil"/>
              <w:bottom w:val="single" w:sz="4" w:space="0" w:color="FFFFFF"/>
              <w:right w:val="single" w:sz="4" w:space="0" w:color="FFFFFF"/>
            </w:tcBorders>
            <w:shd w:val="clear" w:color="FCE4D6" w:fill="FCE4D6"/>
            <w:noWrap/>
            <w:vAlign w:val="bottom"/>
            <w:hideMark/>
          </w:tcPr>
          <w:p w14:paraId="5EE0D7F1"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Minimum</w:t>
            </w:r>
          </w:p>
        </w:tc>
        <w:tc>
          <w:tcPr>
            <w:tcW w:w="1998"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72C927F7"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142.64</w:t>
            </w:r>
          </w:p>
        </w:tc>
        <w:tc>
          <w:tcPr>
            <w:tcW w:w="1892" w:type="dxa"/>
            <w:tcBorders>
              <w:top w:val="single" w:sz="4" w:space="0" w:color="FFFFFF"/>
              <w:left w:val="single" w:sz="4" w:space="0" w:color="FFFFFF"/>
              <w:bottom w:val="single" w:sz="4" w:space="0" w:color="FFFFFF"/>
              <w:right w:val="nil"/>
            </w:tcBorders>
            <w:shd w:val="clear" w:color="FCE4D6" w:fill="FCE4D6"/>
            <w:noWrap/>
            <w:vAlign w:val="bottom"/>
            <w:hideMark/>
          </w:tcPr>
          <w:p w14:paraId="2A0F32C1"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2799312</w:t>
            </w:r>
          </w:p>
        </w:tc>
      </w:tr>
      <w:tr w:rsidR="0042589F" w:rsidRPr="0042589F" w14:paraId="02F4EF3D" w14:textId="77777777" w:rsidTr="0042589F">
        <w:trPr>
          <w:trHeight w:val="444"/>
        </w:trPr>
        <w:tc>
          <w:tcPr>
            <w:tcW w:w="2826" w:type="dxa"/>
            <w:tcBorders>
              <w:top w:val="single" w:sz="4" w:space="0" w:color="FFFFFF"/>
              <w:left w:val="nil"/>
              <w:bottom w:val="single" w:sz="4" w:space="0" w:color="FFFFFF"/>
              <w:right w:val="single" w:sz="4" w:space="0" w:color="FFFFFF"/>
            </w:tcBorders>
            <w:shd w:val="clear" w:color="FCE4D6" w:fill="FCE4D6"/>
            <w:noWrap/>
            <w:vAlign w:val="bottom"/>
            <w:hideMark/>
          </w:tcPr>
          <w:p w14:paraId="38C4B1B1"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Maximum</w:t>
            </w:r>
          </w:p>
        </w:tc>
        <w:tc>
          <w:tcPr>
            <w:tcW w:w="1998"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6CE1AC63"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176.1</w:t>
            </w:r>
          </w:p>
        </w:tc>
        <w:tc>
          <w:tcPr>
            <w:tcW w:w="1892" w:type="dxa"/>
            <w:tcBorders>
              <w:top w:val="single" w:sz="4" w:space="0" w:color="FFFFFF"/>
              <w:left w:val="single" w:sz="4" w:space="0" w:color="FFFFFF"/>
              <w:bottom w:val="single" w:sz="4" w:space="0" w:color="FFFFFF"/>
              <w:right w:val="nil"/>
            </w:tcBorders>
            <w:shd w:val="clear" w:color="FCE4D6" w:fill="FCE4D6"/>
            <w:noWrap/>
            <w:vAlign w:val="bottom"/>
            <w:hideMark/>
          </w:tcPr>
          <w:p w14:paraId="289F510C"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19205160</w:t>
            </w:r>
          </w:p>
        </w:tc>
      </w:tr>
      <w:tr w:rsidR="0042589F" w:rsidRPr="0042589F" w14:paraId="02E0CB8B" w14:textId="77777777" w:rsidTr="0042589F">
        <w:trPr>
          <w:trHeight w:val="444"/>
        </w:trPr>
        <w:tc>
          <w:tcPr>
            <w:tcW w:w="2826" w:type="dxa"/>
            <w:tcBorders>
              <w:top w:val="single" w:sz="4" w:space="0" w:color="FFFFFF"/>
              <w:left w:val="nil"/>
              <w:bottom w:val="single" w:sz="4" w:space="0" w:color="FFFFFF"/>
              <w:right w:val="single" w:sz="4" w:space="0" w:color="FFFFFF"/>
            </w:tcBorders>
            <w:shd w:val="clear" w:color="FCE4D6" w:fill="FCE4D6"/>
            <w:noWrap/>
            <w:vAlign w:val="bottom"/>
            <w:hideMark/>
          </w:tcPr>
          <w:p w14:paraId="098A9B47"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Sum</w:t>
            </w:r>
          </w:p>
        </w:tc>
        <w:tc>
          <w:tcPr>
            <w:tcW w:w="1998"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2573BB67"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15581.54</w:t>
            </w:r>
          </w:p>
        </w:tc>
        <w:tc>
          <w:tcPr>
            <w:tcW w:w="1892" w:type="dxa"/>
            <w:tcBorders>
              <w:top w:val="single" w:sz="4" w:space="0" w:color="FFFFFF"/>
              <w:left w:val="single" w:sz="4" w:space="0" w:color="FFFFFF"/>
              <w:bottom w:val="single" w:sz="4" w:space="0" w:color="FFFFFF"/>
              <w:right w:val="nil"/>
            </w:tcBorders>
            <w:shd w:val="clear" w:color="FCE4D6" w:fill="FCE4D6"/>
            <w:noWrap/>
            <w:vAlign w:val="bottom"/>
            <w:hideMark/>
          </w:tcPr>
          <w:p w14:paraId="63E92943"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631840525</w:t>
            </w:r>
          </w:p>
        </w:tc>
      </w:tr>
      <w:tr w:rsidR="0042589F" w:rsidRPr="0042589F" w14:paraId="0D6CD3CE" w14:textId="77777777" w:rsidTr="0042589F">
        <w:trPr>
          <w:trHeight w:val="444"/>
        </w:trPr>
        <w:tc>
          <w:tcPr>
            <w:tcW w:w="2826" w:type="dxa"/>
            <w:tcBorders>
              <w:top w:val="single" w:sz="4" w:space="0" w:color="FFFFFF"/>
              <w:left w:val="nil"/>
              <w:bottom w:val="nil"/>
              <w:right w:val="single" w:sz="4" w:space="0" w:color="FFFFFF"/>
            </w:tcBorders>
            <w:shd w:val="clear" w:color="FCE4D6" w:fill="FCE4D6"/>
            <w:noWrap/>
            <w:vAlign w:val="bottom"/>
            <w:hideMark/>
          </w:tcPr>
          <w:p w14:paraId="04ED475A" w14:textId="77777777" w:rsidR="0042589F" w:rsidRPr="0042589F" w:rsidRDefault="0042589F" w:rsidP="0042589F">
            <w:pPr>
              <w:spacing w:after="0" w:line="240" w:lineRule="auto"/>
              <w:rPr>
                <w:rFonts w:ascii="Calibri" w:eastAsia="Times New Roman" w:hAnsi="Calibri" w:cs="Calibri"/>
                <w:b/>
                <w:bCs/>
                <w:color w:val="000000"/>
                <w:kern w:val="0"/>
                <w:sz w:val="22"/>
                <w:szCs w:val="22"/>
                <w:lang w:eastAsia="en-IN"/>
                <w14:ligatures w14:val="none"/>
              </w:rPr>
            </w:pPr>
            <w:r w:rsidRPr="0042589F">
              <w:rPr>
                <w:rFonts w:ascii="Calibri" w:eastAsia="Times New Roman" w:hAnsi="Calibri" w:cs="Calibri"/>
                <w:b/>
                <w:bCs/>
                <w:color w:val="000000"/>
                <w:kern w:val="0"/>
                <w:sz w:val="22"/>
                <w:szCs w:val="22"/>
                <w:lang w:eastAsia="en-IN"/>
                <w14:ligatures w14:val="none"/>
              </w:rPr>
              <w:t>Count</w:t>
            </w:r>
          </w:p>
        </w:tc>
        <w:tc>
          <w:tcPr>
            <w:tcW w:w="1998" w:type="dxa"/>
            <w:tcBorders>
              <w:top w:val="single" w:sz="4" w:space="0" w:color="FFFFFF"/>
              <w:left w:val="single" w:sz="4" w:space="0" w:color="FFFFFF"/>
              <w:bottom w:val="nil"/>
              <w:right w:val="single" w:sz="4" w:space="0" w:color="FFFFFF"/>
            </w:tcBorders>
            <w:shd w:val="clear" w:color="FCE4D6" w:fill="FCE4D6"/>
            <w:noWrap/>
            <w:vAlign w:val="bottom"/>
            <w:hideMark/>
          </w:tcPr>
          <w:p w14:paraId="1DD6EF7D"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99</w:t>
            </w:r>
          </w:p>
        </w:tc>
        <w:tc>
          <w:tcPr>
            <w:tcW w:w="1892" w:type="dxa"/>
            <w:tcBorders>
              <w:top w:val="single" w:sz="4" w:space="0" w:color="FFFFFF"/>
              <w:left w:val="single" w:sz="4" w:space="0" w:color="FFFFFF"/>
              <w:bottom w:val="nil"/>
              <w:right w:val="nil"/>
            </w:tcBorders>
            <w:shd w:val="clear" w:color="FCE4D6" w:fill="FCE4D6"/>
            <w:noWrap/>
            <w:vAlign w:val="bottom"/>
            <w:hideMark/>
          </w:tcPr>
          <w:p w14:paraId="59AE43D3" w14:textId="77777777" w:rsidR="0042589F" w:rsidRPr="0042589F" w:rsidRDefault="0042589F" w:rsidP="0042589F">
            <w:pPr>
              <w:spacing w:after="0" w:line="240" w:lineRule="auto"/>
              <w:jc w:val="right"/>
              <w:rPr>
                <w:rFonts w:ascii="Calibri" w:eastAsia="Times New Roman" w:hAnsi="Calibri" w:cs="Calibri"/>
                <w:color w:val="000000"/>
                <w:kern w:val="0"/>
                <w:sz w:val="22"/>
                <w:szCs w:val="22"/>
                <w:lang w:eastAsia="en-IN"/>
                <w14:ligatures w14:val="none"/>
              </w:rPr>
            </w:pPr>
            <w:r w:rsidRPr="0042589F">
              <w:rPr>
                <w:rFonts w:ascii="Calibri" w:eastAsia="Times New Roman" w:hAnsi="Calibri" w:cs="Calibri"/>
                <w:color w:val="000000"/>
                <w:kern w:val="0"/>
                <w:sz w:val="22"/>
                <w:szCs w:val="22"/>
                <w:lang w:eastAsia="en-IN"/>
                <w14:ligatures w14:val="none"/>
              </w:rPr>
              <w:t>99</w:t>
            </w:r>
          </w:p>
        </w:tc>
      </w:tr>
    </w:tbl>
    <w:p w14:paraId="7B42027C" w14:textId="77777777" w:rsidR="0042589F" w:rsidRDefault="0042589F" w:rsidP="00A71461">
      <w:pPr>
        <w:rPr>
          <w:rFonts w:ascii="Times New Roman" w:hAnsi="Times New Roman" w:cs="Times New Roman"/>
        </w:rPr>
      </w:pPr>
    </w:p>
    <w:p w14:paraId="0AEA29DE" w14:textId="77777777" w:rsidR="0042589F" w:rsidRPr="0042589F" w:rsidRDefault="0042589F" w:rsidP="0042589F">
      <w:pPr>
        <w:rPr>
          <w:rFonts w:ascii="Times New Roman" w:hAnsi="Times New Roman" w:cs="Times New Roman"/>
        </w:rPr>
      </w:pPr>
      <w:r w:rsidRPr="0042589F">
        <w:rPr>
          <w:rFonts w:ascii="Times New Roman" w:hAnsi="Times New Roman" w:cs="Times New Roman"/>
        </w:rPr>
        <w:t>PepsiCo's stock exhibits moderate volatility, with an average price of $157.39 and a trading volume of approximately 6.38 million shares. The price range of $33.46 suggests notable fluctuations, while the standard deviation of 9.75 indicates consistent but controlled price movements.</w:t>
      </w:r>
    </w:p>
    <w:p w14:paraId="5454D987" w14:textId="77777777" w:rsidR="0042589F" w:rsidRPr="0042589F" w:rsidRDefault="0042589F" w:rsidP="0042589F">
      <w:pPr>
        <w:rPr>
          <w:rFonts w:ascii="Times New Roman" w:hAnsi="Times New Roman" w:cs="Times New Roman"/>
        </w:rPr>
      </w:pPr>
      <w:r w:rsidRPr="0042589F">
        <w:rPr>
          <w:rFonts w:ascii="Times New Roman" w:hAnsi="Times New Roman" w:cs="Times New Roman"/>
        </w:rPr>
        <w:t>The slight positive skewness (0.32) implies a tendency for prices to lean toward the higher end, while kurtosis (-1.02) suggests a flatter distribution with fewer extreme price spikes. The trading volume varies significantly, reflecting fluctuating investor interest.</w:t>
      </w:r>
    </w:p>
    <w:p w14:paraId="7F7DE6AA" w14:textId="77777777" w:rsidR="0042589F" w:rsidRDefault="0042589F" w:rsidP="007A4BBD">
      <w:pPr>
        <w:jc w:val="center"/>
        <w:rPr>
          <w:rFonts w:ascii="Times New Roman" w:hAnsi="Times New Roman" w:cs="Times New Roman"/>
          <w:b/>
          <w:bCs/>
        </w:rPr>
      </w:pPr>
    </w:p>
    <w:p w14:paraId="53B54687" w14:textId="77777777" w:rsidR="0042589F" w:rsidRDefault="0042589F" w:rsidP="007A4BBD">
      <w:pPr>
        <w:jc w:val="center"/>
        <w:rPr>
          <w:rFonts w:ascii="Times New Roman" w:hAnsi="Times New Roman" w:cs="Times New Roman"/>
          <w:b/>
          <w:bCs/>
        </w:rPr>
      </w:pPr>
    </w:p>
    <w:p w14:paraId="29F2E9D5" w14:textId="77777777" w:rsidR="0042589F" w:rsidRDefault="0042589F" w:rsidP="007A4BBD">
      <w:pPr>
        <w:jc w:val="center"/>
        <w:rPr>
          <w:rFonts w:ascii="Times New Roman" w:hAnsi="Times New Roman" w:cs="Times New Roman"/>
          <w:b/>
          <w:bCs/>
        </w:rPr>
      </w:pPr>
    </w:p>
    <w:p w14:paraId="76C7FC36" w14:textId="77777777" w:rsidR="0042589F" w:rsidRDefault="0042589F" w:rsidP="0042589F">
      <w:pPr>
        <w:rPr>
          <w:rFonts w:ascii="Times New Roman" w:hAnsi="Times New Roman" w:cs="Times New Roman"/>
          <w:b/>
          <w:bCs/>
        </w:rPr>
      </w:pPr>
    </w:p>
    <w:p w14:paraId="666B7442" w14:textId="77777777" w:rsidR="0042589F" w:rsidRDefault="0042589F" w:rsidP="009920BF">
      <w:pPr>
        <w:rPr>
          <w:rFonts w:ascii="Times New Roman" w:hAnsi="Times New Roman" w:cs="Times New Roman"/>
          <w:b/>
          <w:bCs/>
        </w:rPr>
      </w:pPr>
    </w:p>
    <w:p w14:paraId="7473728A" w14:textId="3AF1B9A3" w:rsidR="00A71461" w:rsidRDefault="00AA75A8" w:rsidP="007A4BBD">
      <w:pPr>
        <w:jc w:val="center"/>
        <w:rPr>
          <w:rFonts w:ascii="Times New Roman" w:hAnsi="Times New Roman" w:cs="Times New Roman"/>
        </w:rPr>
      </w:pPr>
      <w:r w:rsidRPr="00FC1AF4">
        <w:rPr>
          <w:rFonts w:ascii="Times New Roman" w:hAnsi="Times New Roman" w:cs="Times New Roman"/>
          <w:b/>
          <w:bCs/>
        </w:rPr>
        <w:t>Coca-Cola</w:t>
      </w:r>
    </w:p>
    <w:p w14:paraId="2E93A602" w14:textId="77777777" w:rsidR="00A71461" w:rsidRDefault="00A71461" w:rsidP="00A71461">
      <w:pPr>
        <w:rPr>
          <w:rFonts w:ascii="Times New Roman" w:hAnsi="Times New Roman" w:cs="Times New Roman"/>
        </w:rPr>
      </w:pPr>
    </w:p>
    <w:tbl>
      <w:tblPr>
        <w:tblW w:w="7382" w:type="dxa"/>
        <w:tblLook w:val="04A0" w:firstRow="1" w:lastRow="0" w:firstColumn="1" w:lastColumn="0" w:noHBand="0" w:noVBand="1"/>
      </w:tblPr>
      <w:tblGrid>
        <w:gridCol w:w="3322"/>
        <w:gridCol w:w="2348"/>
        <w:gridCol w:w="1712"/>
      </w:tblGrid>
      <w:tr w:rsidR="00AA75A8" w:rsidRPr="00AA75A8" w14:paraId="017D1E62" w14:textId="77777777" w:rsidTr="007A3DF7">
        <w:trPr>
          <w:trHeight w:val="485"/>
        </w:trPr>
        <w:tc>
          <w:tcPr>
            <w:tcW w:w="7382" w:type="dxa"/>
            <w:gridSpan w:val="3"/>
            <w:tcBorders>
              <w:top w:val="nil"/>
              <w:left w:val="nil"/>
              <w:bottom w:val="nil"/>
              <w:right w:val="nil"/>
            </w:tcBorders>
            <w:shd w:val="clear" w:color="000000" w:fill="FFF2CC"/>
            <w:noWrap/>
            <w:vAlign w:val="bottom"/>
            <w:hideMark/>
          </w:tcPr>
          <w:p w14:paraId="3A91ABEB" w14:textId="77777777" w:rsidR="00AA75A8" w:rsidRPr="00AA75A8" w:rsidRDefault="00AA75A8" w:rsidP="00AA75A8">
            <w:pPr>
              <w:spacing w:after="0" w:line="240" w:lineRule="auto"/>
              <w:jc w:val="center"/>
              <w:rPr>
                <w:rFonts w:ascii="Calibri" w:eastAsia="Times New Roman" w:hAnsi="Calibri" w:cs="Calibri"/>
                <w:b/>
                <w:bCs/>
                <w:color w:val="000000"/>
                <w:kern w:val="0"/>
                <w:lang w:eastAsia="en-IN"/>
                <w14:ligatures w14:val="none"/>
              </w:rPr>
            </w:pPr>
            <w:r w:rsidRPr="00AA75A8">
              <w:rPr>
                <w:rFonts w:ascii="Calibri" w:eastAsia="Times New Roman" w:hAnsi="Calibri" w:cs="Calibri"/>
                <w:b/>
                <w:bCs/>
                <w:color w:val="000000"/>
                <w:kern w:val="0"/>
                <w:lang w:eastAsia="en-IN"/>
                <w14:ligatures w14:val="none"/>
              </w:rPr>
              <w:t>Descriptive Statistics</w:t>
            </w:r>
          </w:p>
        </w:tc>
      </w:tr>
      <w:tr w:rsidR="00AA75A8" w:rsidRPr="00AA75A8" w14:paraId="3FDDF740" w14:textId="77777777" w:rsidTr="007A3DF7">
        <w:trPr>
          <w:trHeight w:val="447"/>
        </w:trPr>
        <w:tc>
          <w:tcPr>
            <w:tcW w:w="3322" w:type="dxa"/>
            <w:tcBorders>
              <w:top w:val="nil"/>
              <w:left w:val="nil"/>
              <w:bottom w:val="single" w:sz="4" w:space="0" w:color="FFFFFF"/>
              <w:right w:val="single" w:sz="4" w:space="0" w:color="FFFFFF"/>
            </w:tcBorders>
            <w:shd w:val="clear" w:color="FFF2CC" w:fill="FFF2CC"/>
            <w:noWrap/>
            <w:vAlign w:val="bottom"/>
            <w:hideMark/>
          </w:tcPr>
          <w:p w14:paraId="38033812"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 </w:t>
            </w:r>
          </w:p>
        </w:tc>
        <w:tc>
          <w:tcPr>
            <w:tcW w:w="2348" w:type="dxa"/>
            <w:tcBorders>
              <w:top w:val="nil"/>
              <w:left w:val="nil"/>
              <w:bottom w:val="single" w:sz="4" w:space="0" w:color="FFFFFF"/>
              <w:right w:val="single" w:sz="4" w:space="0" w:color="FFFFFF"/>
            </w:tcBorders>
            <w:shd w:val="clear" w:color="FFF2CC" w:fill="FFF2CC"/>
            <w:noWrap/>
            <w:vAlign w:val="bottom"/>
            <w:hideMark/>
          </w:tcPr>
          <w:p w14:paraId="6E8AD34B"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CLOSE/LAST</w:t>
            </w:r>
          </w:p>
        </w:tc>
        <w:tc>
          <w:tcPr>
            <w:tcW w:w="1711" w:type="dxa"/>
            <w:tcBorders>
              <w:top w:val="nil"/>
              <w:left w:val="nil"/>
              <w:bottom w:val="single" w:sz="4" w:space="0" w:color="FFFFFF"/>
              <w:right w:val="nil"/>
            </w:tcBorders>
            <w:shd w:val="clear" w:color="FFF2CC" w:fill="FFF2CC"/>
            <w:noWrap/>
            <w:vAlign w:val="bottom"/>
            <w:hideMark/>
          </w:tcPr>
          <w:p w14:paraId="5ED8D7DC"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VOLUME</w:t>
            </w:r>
          </w:p>
        </w:tc>
      </w:tr>
      <w:tr w:rsidR="00AA75A8" w:rsidRPr="00AA75A8" w14:paraId="709AD68E" w14:textId="77777777" w:rsidTr="007A3DF7">
        <w:trPr>
          <w:trHeight w:val="447"/>
        </w:trPr>
        <w:tc>
          <w:tcPr>
            <w:tcW w:w="3322" w:type="dxa"/>
            <w:tcBorders>
              <w:top w:val="nil"/>
              <w:left w:val="nil"/>
              <w:bottom w:val="single" w:sz="4" w:space="0" w:color="FFFFFF"/>
              <w:right w:val="single" w:sz="4" w:space="0" w:color="FFFFFF"/>
            </w:tcBorders>
            <w:shd w:val="clear" w:color="FFF2CC" w:fill="FFF2CC"/>
            <w:noWrap/>
            <w:vAlign w:val="bottom"/>
            <w:hideMark/>
          </w:tcPr>
          <w:p w14:paraId="41633468"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Mean</w:t>
            </w:r>
          </w:p>
        </w:tc>
        <w:tc>
          <w:tcPr>
            <w:tcW w:w="2348" w:type="dxa"/>
            <w:tcBorders>
              <w:top w:val="nil"/>
              <w:left w:val="single" w:sz="4" w:space="0" w:color="FFFFFF"/>
              <w:bottom w:val="single" w:sz="4" w:space="0" w:color="FFFFFF"/>
              <w:right w:val="single" w:sz="4" w:space="0" w:color="FFFFFF"/>
            </w:tcBorders>
            <w:shd w:val="clear" w:color="FFF2CC" w:fill="FFF2CC"/>
            <w:noWrap/>
            <w:vAlign w:val="bottom"/>
            <w:hideMark/>
          </w:tcPr>
          <w:p w14:paraId="15DE51AD"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64.92858586</w:t>
            </w:r>
          </w:p>
        </w:tc>
        <w:tc>
          <w:tcPr>
            <w:tcW w:w="1711" w:type="dxa"/>
            <w:tcBorders>
              <w:top w:val="nil"/>
              <w:left w:val="single" w:sz="4" w:space="0" w:color="FFFFFF"/>
              <w:bottom w:val="single" w:sz="4" w:space="0" w:color="FFFFFF"/>
              <w:right w:val="nil"/>
            </w:tcBorders>
            <w:shd w:val="clear" w:color="FFF2CC" w:fill="FFF2CC"/>
            <w:noWrap/>
            <w:vAlign w:val="bottom"/>
            <w:hideMark/>
          </w:tcPr>
          <w:p w14:paraId="0CF00FCD"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16583894</w:t>
            </w:r>
          </w:p>
        </w:tc>
      </w:tr>
      <w:tr w:rsidR="00AA75A8" w:rsidRPr="00AA75A8" w14:paraId="7489927B" w14:textId="77777777" w:rsidTr="007A3DF7">
        <w:trPr>
          <w:trHeight w:val="447"/>
        </w:trPr>
        <w:tc>
          <w:tcPr>
            <w:tcW w:w="3322" w:type="dxa"/>
            <w:tcBorders>
              <w:top w:val="single" w:sz="4" w:space="0" w:color="FFFFFF"/>
              <w:left w:val="nil"/>
              <w:bottom w:val="single" w:sz="4" w:space="0" w:color="FFFFFF"/>
              <w:right w:val="single" w:sz="4" w:space="0" w:color="FFFFFF"/>
            </w:tcBorders>
            <w:shd w:val="clear" w:color="FFF2CC" w:fill="FFF2CC"/>
            <w:noWrap/>
            <w:vAlign w:val="bottom"/>
            <w:hideMark/>
          </w:tcPr>
          <w:p w14:paraId="7F25F06E"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Standard Error</w:t>
            </w:r>
          </w:p>
        </w:tc>
        <w:tc>
          <w:tcPr>
            <w:tcW w:w="2348" w:type="dxa"/>
            <w:tcBorders>
              <w:top w:val="single" w:sz="4" w:space="0" w:color="FFFFFF"/>
              <w:left w:val="single" w:sz="4" w:space="0" w:color="FFFFFF"/>
              <w:bottom w:val="single" w:sz="4" w:space="0" w:color="FFFFFF"/>
              <w:right w:val="single" w:sz="4" w:space="0" w:color="FFFFFF"/>
            </w:tcBorders>
            <w:shd w:val="clear" w:color="FFF2CC" w:fill="FFF2CC"/>
            <w:noWrap/>
            <w:vAlign w:val="bottom"/>
            <w:hideMark/>
          </w:tcPr>
          <w:p w14:paraId="6D85AD0F"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0.320995026</w:t>
            </w:r>
          </w:p>
        </w:tc>
        <w:tc>
          <w:tcPr>
            <w:tcW w:w="1711" w:type="dxa"/>
            <w:tcBorders>
              <w:top w:val="single" w:sz="4" w:space="0" w:color="FFFFFF"/>
              <w:left w:val="single" w:sz="4" w:space="0" w:color="FFFFFF"/>
              <w:bottom w:val="single" w:sz="4" w:space="0" w:color="FFFFFF"/>
              <w:right w:val="nil"/>
            </w:tcBorders>
            <w:shd w:val="clear" w:color="FFF2CC" w:fill="FFF2CC"/>
            <w:noWrap/>
            <w:vAlign w:val="bottom"/>
            <w:hideMark/>
          </w:tcPr>
          <w:p w14:paraId="3C4D1774"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627587.4</w:t>
            </w:r>
          </w:p>
        </w:tc>
      </w:tr>
      <w:tr w:rsidR="00AA75A8" w:rsidRPr="00AA75A8" w14:paraId="5421E842" w14:textId="77777777" w:rsidTr="007A3DF7">
        <w:trPr>
          <w:trHeight w:val="447"/>
        </w:trPr>
        <w:tc>
          <w:tcPr>
            <w:tcW w:w="3322" w:type="dxa"/>
            <w:tcBorders>
              <w:top w:val="single" w:sz="4" w:space="0" w:color="FFFFFF"/>
              <w:left w:val="nil"/>
              <w:bottom w:val="single" w:sz="4" w:space="0" w:color="FFFFFF"/>
              <w:right w:val="single" w:sz="4" w:space="0" w:color="FFFFFF"/>
            </w:tcBorders>
            <w:shd w:val="clear" w:color="FFF2CC" w:fill="FFF2CC"/>
            <w:noWrap/>
            <w:vAlign w:val="bottom"/>
            <w:hideMark/>
          </w:tcPr>
          <w:p w14:paraId="5CC5749D"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Median</w:t>
            </w:r>
          </w:p>
        </w:tc>
        <w:tc>
          <w:tcPr>
            <w:tcW w:w="2348" w:type="dxa"/>
            <w:tcBorders>
              <w:top w:val="single" w:sz="4" w:space="0" w:color="FFFFFF"/>
              <w:left w:val="single" w:sz="4" w:space="0" w:color="FFFFFF"/>
              <w:bottom w:val="single" w:sz="4" w:space="0" w:color="FFFFFF"/>
              <w:right w:val="single" w:sz="4" w:space="0" w:color="FFFFFF"/>
            </w:tcBorders>
            <w:shd w:val="clear" w:color="FFF2CC" w:fill="FFF2CC"/>
            <w:noWrap/>
            <w:vAlign w:val="bottom"/>
            <w:hideMark/>
          </w:tcPr>
          <w:p w14:paraId="1E1795A9"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63.65</w:t>
            </w:r>
          </w:p>
        </w:tc>
        <w:tc>
          <w:tcPr>
            <w:tcW w:w="1711" w:type="dxa"/>
            <w:tcBorders>
              <w:top w:val="single" w:sz="4" w:space="0" w:color="FFFFFF"/>
              <w:left w:val="single" w:sz="4" w:space="0" w:color="FFFFFF"/>
              <w:bottom w:val="single" w:sz="4" w:space="0" w:color="FFFFFF"/>
              <w:right w:val="nil"/>
            </w:tcBorders>
            <w:shd w:val="clear" w:color="FFF2CC" w:fill="FFF2CC"/>
            <w:noWrap/>
            <w:vAlign w:val="bottom"/>
            <w:hideMark/>
          </w:tcPr>
          <w:p w14:paraId="09D53A15"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15581150</w:t>
            </w:r>
          </w:p>
        </w:tc>
      </w:tr>
      <w:tr w:rsidR="00AA75A8" w:rsidRPr="00AA75A8" w14:paraId="729D24B8" w14:textId="77777777" w:rsidTr="007A3DF7">
        <w:trPr>
          <w:trHeight w:val="447"/>
        </w:trPr>
        <w:tc>
          <w:tcPr>
            <w:tcW w:w="3322" w:type="dxa"/>
            <w:tcBorders>
              <w:top w:val="single" w:sz="4" w:space="0" w:color="FFFFFF"/>
              <w:left w:val="nil"/>
              <w:bottom w:val="single" w:sz="4" w:space="0" w:color="FFFFFF"/>
              <w:right w:val="single" w:sz="4" w:space="0" w:color="FFFFFF"/>
            </w:tcBorders>
            <w:shd w:val="clear" w:color="FFF2CC" w:fill="FFF2CC"/>
            <w:noWrap/>
            <w:vAlign w:val="bottom"/>
            <w:hideMark/>
          </w:tcPr>
          <w:p w14:paraId="33D80165"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Mode</w:t>
            </w:r>
          </w:p>
        </w:tc>
        <w:tc>
          <w:tcPr>
            <w:tcW w:w="2348" w:type="dxa"/>
            <w:tcBorders>
              <w:top w:val="single" w:sz="4" w:space="0" w:color="FFFFFF"/>
              <w:left w:val="single" w:sz="4" w:space="0" w:color="FFFFFF"/>
              <w:bottom w:val="single" w:sz="4" w:space="0" w:color="FFFFFF"/>
              <w:right w:val="single" w:sz="4" w:space="0" w:color="FFFFFF"/>
            </w:tcBorders>
            <w:shd w:val="clear" w:color="FFF2CC" w:fill="FFF2CC"/>
            <w:noWrap/>
            <w:vAlign w:val="bottom"/>
            <w:hideMark/>
          </w:tcPr>
          <w:p w14:paraId="00BA5C3B"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62.55</w:t>
            </w:r>
          </w:p>
        </w:tc>
        <w:tc>
          <w:tcPr>
            <w:tcW w:w="1711" w:type="dxa"/>
            <w:tcBorders>
              <w:top w:val="single" w:sz="4" w:space="0" w:color="FFFFFF"/>
              <w:left w:val="single" w:sz="4" w:space="0" w:color="FFFFFF"/>
              <w:bottom w:val="single" w:sz="4" w:space="0" w:color="FFFFFF"/>
              <w:right w:val="nil"/>
            </w:tcBorders>
            <w:shd w:val="clear" w:color="FFF2CC" w:fill="FFF2CC"/>
            <w:noWrap/>
            <w:vAlign w:val="bottom"/>
            <w:hideMark/>
          </w:tcPr>
          <w:p w14:paraId="0871036D" w14:textId="77777777" w:rsidR="00AA75A8" w:rsidRPr="00AA75A8" w:rsidRDefault="00AA75A8" w:rsidP="00AA75A8">
            <w:pPr>
              <w:spacing w:after="0" w:line="240" w:lineRule="auto"/>
              <w:jc w:val="center"/>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#N/A</w:t>
            </w:r>
          </w:p>
        </w:tc>
      </w:tr>
      <w:tr w:rsidR="00AA75A8" w:rsidRPr="00AA75A8" w14:paraId="4ABC9828" w14:textId="77777777" w:rsidTr="007A3DF7">
        <w:trPr>
          <w:trHeight w:val="447"/>
        </w:trPr>
        <w:tc>
          <w:tcPr>
            <w:tcW w:w="3322" w:type="dxa"/>
            <w:tcBorders>
              <w:top w:val="single" w:sz="4" w:space="0" w:color="FFFFFF"/>
              <w:left w:val="nil"/>
              <w:bottom w:val="single" w:sz="4" w:space="0" w:color="FFFFFF"/>
              <w:right w:val="single" w:sz="4" w:space="0" w:color="FFFFFF"/>
            </w:tcBorders>
            <w:shd w:val="clear" w:color="FFF2CC" w:fill="FFF2CC"/>
            <w:noWrap/>
            <w:vAlign w:val="bottom"/>
            <w:hideMark/>
          </w:tcPr>
          <w:p w14:paraId="11968E10"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Standard Deviation</w:t>
            </w:r>
          </w:p>
        </w:tc>
        <w:tc>
          <w:tcPr>
            <w:tcW w:w="2348" w:type="dxa"/>
            <w:tcBorders>
              <w:top w:val="single" w:sz="4" w:space="0" w:color="FFFFFF"/>
              <w:left w:val="single" w:sz="4" w:space="0" w:color="FFFFFF"/>
              <w:bottom w:val="single" w:sz="4" w:space="0" w:color="FFFFFF"/>
              <w:right w:val="single" w:sz="4" w:space="0" w:color="FFFFFF"/>
            </w:tcBorders>
            <w:shd w:val="clear" w:color="FFF2CC" w:fill="FFF2CC"/>
            <w:noWrap/>
            <w:vAlign w:val="bottom"/>
            <w:hideMark/>
          </w:tcPr>
          <w:p w14:paraId="57D4A433"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3.193860184</w:t>
            </w:r>
          </w:p>
        </w:tc>
        <w:tc>
          <w:tcPr>
            <w:tcW w:w="1711" w:type="dxa"/>
            <w:tcBorders>
              <w:top w:val="single" w:sz="4" w:space="0" w:color="FFFFFF"/>
              <w:left w:val="single" w:sz="4" w:space="0" w:color="FFFFFF"/>
              <w:bottom w:val="single" w:sz="4" w:space="0" w:color="FFFFFF"/>
              <w:right w:val="nil"/>
            </w:tcBorders>
            <w:shd w:val="clear" w:color="FFF2CC" w:fill="FFF2CC"/>
            <w:noWrap/>
            <w:vAlign w:val="bottom"/>
            <w:hideMark/>
          </w:tcPr>
          <w:p w14:paraId="13AC0EB3"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6244416</w:t>
            </w:r>
          </w:p>
        </w:tc>
      </w:tr>
      <w:tr w:rsidR="00AA75A8" w:rsidRPr="00AA75A8" w14:paraId="6F772F9C" w14:textId="77777777" w:rsidTr="007A3DF7">
        <w:trPr>
          <w:trHeight w:val="447"/>
        </w:trPr>
        <w:tc>
          <w:tcPr>
            <w:tcW w:w="3322" w:type="dxa"/>
            <w:tcBorders>
              <w:top w:val="single" w:sz="4" w:space="0" w:color="FFFFFF"/>
              <w:left w:val="nil"/>
              <w:bottom w:val="single" w:sz="4" w:space="0" w:color="FFFFFF"/>
              <w:right w:val="single" w:sz="4" w:space="0" w:color="FFFFFF"/>
            </w:tcBorders>
            <w:shd w:val="clear" w:color="FFF2CC" w:fill="FFF2CC"/>
            <w:noWrap/>
            <w:vAlign w:val="bottom"/>
            <w:hideMark/>
          </w:tcPr>
          <w:p w14:paraId="40261A09"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Sample Variance</w:t>
            </w:r>
          </w:p>
        </w:tc>
        <w:tc>
          <w:tcPr>
            <w:tcW w:w="2348" w:type="dxa"/>
            <w:tcBorders>
              <w:top w:val="single" w:sz="4" w:space="0" w:color="FFFFFF"/>
              <w:left w:val="single" w:sz="4" w:space="0" w:color="FFFFFF"/>
              <w:bottom w:val="single" w:sz="4" w:space="0" w:color="FFFFFF"/>
              <w:right w:val="single" w:sz="4" w:space="0" w:color="FFFFFF"/>
            </w:tcBorders>
            <w:shd w:val="clear" w:color="FFF2CC" w:fill="FFF2CC"/>
            <w:noWrap/>
            <w:vAlign w:val="bottom"/>
            <w:hideMark/>
          </w:tcPr>
          <w:p w14:paraId="10C1AD81"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10.20074288</w:t>
            </w:r>
          </w:p>
        </w:tc>
        <w:tc>
          <w:tcPr>
            <w:tcW w:w="1711" w:type="dxa"/>
            <w:tcBorders>
              <w:top w:val="single" w:sz="4" w:space="0" w:color="FFFFFF"/>
              <w:left w:val="single" w:sz="4" w:space="0" w:color="FFFFFF"/>
              <w:bottom w:val="single" w:sz="4" w:space="0" w:color="FFFFFF"/>
              <w:right w:val="nil"/>
            </w:tcBorders>
            <w:shd w:val="clear" w:color="FFF2CC" w:fill="FFF2CC"/>
            <w:noWrap/>
            <w:vAlign w:val="bottom"/>
            <w:hideMark/>
          </w:tcPr>
          <w:p w14:paraId="7129E65B"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3.9E+13</w:t>
            </w:r>
          </w:p>
        </w:tc>
      </w:tr>
      <w:tr w:rsidR="00AA75A8" w:rsidRPr="00AA75A8" w14:paraId="0715B360" w14:textId="77777777" w:rsidTr="007A3DF7">
        <w:trPr>
          <w:trHeight w:val="447"/>
        </w:trPr>
        <w:tc>
          <w:tcPr>
            <w:tcW w:w="3322" w:type="dxa"/>
            <w:tcBorders>
              <w:top w:val="single" w:sz="4" w:space="0" w:color="FFFFFF"/>
              <w:left w:val="nil"/>
              <w:bottom w:val="single" w:sz="4" w:space="0" w:color="FFFFFF"/>
              <w:right w:val="single" w:sz="4" w:space="0" w:color="FFFFFF"/>
            </w:tcBorders>
            <w:shd w:val="clear" w:color="FFF2CC" w:fill="FFF2CC"/>
            <w:noWrap/>
            <w:vAlign w:val="bottom"/>
            <w:hideMark/>
          </w:tcPr>
          <w:p w14:paraId="4A6A6BEE"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Kurtosis</w:t>
            </w:r>
          </w:p>
        </w:tc>
        <w:tc>
          <w:tcPr>
            <w:tcW w:w="2348" w:type="dxa"/>
            <w:tcBorders>
              <w:top w:val="single" w:sz="4" w:space="0" w:color="FFFFFF"/>
              <w:left w:val="single" w:sz="4" w:space="0" w:color="FFFFFF"/>
              <w:bottom w:val="single" w:sz="4" w:space="0" w:color="FFFFFF"/>
              <w:right w:val="single" w:sz="4" w:space="0" w:color="FFFFFF"/>
            </w:tcBorders>
            <w:shd w:val="clear" w:color="FFF2CC" w:fill="FFF2CC"/>
            <w:noWrap/>
            <w:vAlign w:val="bottom"/>
            <w:hideMark/>
          </w:tcPr>
          <w:p w14:paraId="6FBB77D4"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-0.893837891</w:t>
            </w:r>
          </w:p>
        </w:tc>
        <w:tc>
          <w:tcPr>
            <w:tcW w:w="1711" w:type="dxa"/>
            <w:tcBorders>
              <w:top w:val="single" w:sz="4" w:space="0" w:color="FFFFFF"/>
              <w:left w:val="single" w:sz="4" w:space="0" w:color="FFFFFF"/>
              <w:bottom w:val="single" w:sz="4" w:space="0" w:color="FFFFFF"/>
              <w:right w:val="nil"/>
            </w:tcBorders>
            <w:shd w:val="clear" w:color="FFF2CC" w:fill="FFF2CC"/>
            <w:noWrap/>
            <w:vAlign w:val="bottom"/>
            <w:hideMark/>
          </w:tcPr>
          <w:p w14:paraId="05F0EF37"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3.023919</w:t>
            </w:r>
          </w:p>
        </w:tc>
      </w:tr>
      <w:tr w:rsidR="00AA75A8" w:rsidRPr="00AA75A8" w14:paraId="0504F517" w14:textId="77777777" w:rsidTr="007A3DF7">
        <w:trPr>
          <w:trHeight w:val="447"/>
        </w:trPr>
        <w:tc>
          <w:tcPr>
            <w:tcW w:w="3322" w:type="dxa"/>
            <w:tcBorders>
              <w:top w:val="single" w:sz="4" w:space="0" w:color="FFFFFF"/>
              <w:left w:val="nil"/>
              <w:bottom w:val="single" w:sz="4" w:space="0" w:color="FFFFFF"/>
              <w:right w:val="single" w:sz="4" w:space="0" w:color="FFFFFF"/>
            </w:tcBorders>
            <w:shd w:val="clear" w:color="FFF2CC" w:fill="FFF2CC"/>
            <w:noWrap/>
            <w:vAlign w:val="bottom"/>
            <w:hideMark/>
          </w:tcPr>
          <w:p w14:paraId="668F2BA9"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Skewness</w:t>
            </w:r>
          </w:p>
        </w:tc>
        <w:tc>
          <w:tcPr>
            <w:tcW w:w="2348" w:type="dxa"/>
            <w:tcBorders>
              <w:top w:val="single" w:sz="4" w:space="0" w:color="FFFFFF"/>
              <w:left w:val="single" w:sz="4" w:space="0" w:color="FFFFFF"/>
              <w:bottom w:val="single" w:sz="4" w:space="0" w:color="FFFFFF"/>
              <w:right w:val="single" w:sz="4" w:space="0" w:color="FFFFFF"/>
            </w:tcBorders>
            <w:shd w:val="clear" w:color="FFF2CC" w:fill="FFF2CC"/>
            <w:noWrap/>
            <w:vAlign w:val="bottom"/>
            <w:hideMark/>
          </w:tcPr>
          <w:p w14:paraId="1D8ADEAB"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0.789906844</w:t>
            </w:r>
          </w:p>
        </w:tc>
        <w:tc>
          <w:tcPr>
            <w:tcW w:w="1711" w:type="dxa"/>
            <w:tcBorders>
              <w:top w:val="single" w:sz="4" w:space="0" w:color="FFFFFF"/>
              <w:left w:val="single" w:sz="4" w:space="0" w:color="FFFFFF"/>
              <w:bottom w:val="single" w:sz="4" w:space="0" w:color="FFFFFF"/>
              <w:right w:val="nil"/>
            </w:tcBorders>
            <w:shd w:val="clear" w:color="FFF2CC" w:fill="FFF2CC"/>
            <w:noWrap/>
            <w:vAlign w:val="bottom"/>
            <w:hideMark/>
          </w:tcPr>
          <w:p w14:paraId="738D0BA7"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1.307676</w:t>
            </w:r>
          </w:p>
        </w:tc>
      </w:tr>
      <w:tr w:rsidR="00AA75A8" w:rsidRPr="00AA75A8" w14:paraId="08BAB04F" w14:textId="77777777" w:rsidTr="007A3DF7">
        <w:trPr>
          <w:trHeight w:val="447"/>
        </w:trPr>
        <w:tc>
          <w:tcPr>
            <w:tcW w:w="3322" w:type="dxa"/>
            <w:tcBorders>
              <w:top w:val="single" w:sz="4" w:space="0" w:color="FFFFFF"/>
              <w:left w:val="nil"/>
              <w:bottom w:val="single" w:sz="4" w:space="0" w:color="FFFFFF"/>
              <w:right w:val="single" w:sz="4" w:space="0" w:color="FFFFFF"/>
            </w:tcBorders>
            <w:shd w:val="clear" w:color="FFF2CC" w:fill="FFF2CC"/>
            <w:noWrap/>
            <w:vAlign w:val="bottom"/>
            <w:hideMark/>
          </w:tcPr>
          <w:p w14:paraId="2A3B2ABB"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Range</w:t>
            </w:r>
          </w:p>
        </w:tc>
        <w:tc>
          <w:tcPr>
            <w:tcW w:w="2348" w:type="dxa"/>
            <w:tcBorders>
              <w:top w:val="single" w:sz="4" w:space="0" w:color="FFFFFF"/>
              <w:left w:val="single" w:sz="4" w:space="0" w:color="FFFFFF"/>
              <w:bottom w:val="single" w:sz="4" w:space="0" w:color="FFFFFF"/>
              <w:right w:val="single" w:sz="4" w:space="0" w:color="FFFFFF"/>
            </w:tcBorders>
            <w:shd w:val="clear" w:color="FFF2CC" w:fill="FFF2CC"/>
            <w:noWrap/>
            <w:vAlign w:val="bottom"/>
            <w:hideMark/>
          </w:tcPr>
          <w:p w14:paraId="3AE30454"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10.68</w:t>
            </w:r>
          </w:p>
        </w:tc>
        <w:tc>
          <w:tcPr>
            <w:tcW w:w="1711" w:type="dxa"/>
            <w:tcBorders>
              <w:top w:val="single" w:sz="4" w:space="0" w:color="FFFFFF"/>
              <w:left w:val="single" w:sz="4" w:space="0" w:color="FFFFFF"/>
              <w:bottom w:val="single" w:sz="4" w:space="0" w:color="FFFFFF"/>
              <w:right w:val="nil"/>
            </w:tcBorders>
            <w:shd w:val="clear" w:color="FFF2CC" w:fill="FFF2CC"/>
            <w:noWrap/>
            <w:vAlign w:val="bottom"/>
            <w:hideMark/>
          </w:tcPr>
          <w:p w14:paraId="3229CD6E"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37438969</w:t>
            </w:r>
          </w:p>
        </w:tc>
      </w:tr>
      <w:tr w:rsidR="00AA75A8" w:rsidRPr="00AA75A8" w14:paraId="587AF79F" w14:textId="77777777" w:rsidTr="007A3DF7">
        <w:trPr>
          <w:trHeight w:val="447"/>
        </w:trPr>
        <w:tc>
          <w:tcPr>
            <w:tcW w:w="3322" w:type="dxa"/>
            <w:tcBorders>
              <w:top w:val="single" w:sz="4" w:space="0" w:color="FFFFFF"/>
              <w:left w:val="nil"/>
              <w:bottom w:val="single" w:sz="4" w:space="0" w:color="FFFFFF"/>
              <w:right w:val="single" w:sz="4" w:space="0" w:color="FFFFFF"/>
            </w:tcBorders>
            <w:shd w:val="clear" w:color="FFF2CC" w:fill="FFF2CC"/>
            <w:noWrap/>
            <w:vAlign w:val="bottom"/>
            <w:hideMark/>
          </w:tcPr>
          <w:p w14:paraId="7D0A74C7"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Minimum</w:t>
            </w:r>
          </w:p>
        </w:tc>
        <w:tc>
          <w:tcPr>
            <w:tcW w:w="2348" w:type="dxa"/>
            <w:tcBorders>
              <w:top w:val="single" w:sz="4" w:space="0" w:color="FFFFFF"/>
              <w:left w:val="single" w:sz="4" w:space="0" w:color="FFFFFF"/>
              <w:bottom w:val="single" w:sz="4" w:space="0" w:color="FFFFFF"/>
              <w:right w:val="single" w:sz="4" w:space="0" w:color="FFFFFF"/>
            </w:tcBorders>
            <w:shd w:val="clear" w:color="FFF2CC" w:fill="FFF2CC"/>
            <w:noWrap/>
            <w:vAlign w:val="bottom"/>
            <w:hideMark/>
          </w:tcPr>
          <w:p w14:paraId="152EEB55"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60.81</w:t>
            </w:r>
          </w:p>
        </w:tc>
        <w:tc>
          <w:tcPr>
            <w:tcW w:w="1711" w:type="dxa"/>
            <w:tcBorders>
              <w:top w:val="single" w:sz="4" w:space="0" w:color="FFFFFF"/>
              <w:left w:val="single" w:sz="4" w:space="0" w:color="FFFFFF"/>
              <w:bottom w:val="single" w:sz="4" w:space="0" w:color="FFFFFF"/>
              <w:right w:val="nil"/>
            </w:tcBorders>
            <w:shd w:val="clear" w:color="FFF2CC" w:fill="FFF2CC"/>
            <w:noWrap/>
            <w:vAlign w:val="bottom"/>
            <w:hideMark/>
          </w:tcPr>
          <w:p w14:paraId="4406EB3A"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5019131</w:t>
            </w:r>
          </w:p>
        </w:tc>
      </w:tr>
      <w:tr w:rsidR="00AA75A8" w:rsidRPr="00AA75A8" w14:paraId="17640510" w14:textId="77777777" w:rsidTr="007A3DF7">
        <w:trPr>
          <w:trHeight w:val="447"/>
        </w:trPr>
        <w:tc>
          <w:tcPr>
            <w:tcW w:w="3322" w:type="dxa"/>
            <w:tcBorders>
              <w:top w:val="single" w:sz="4" w:space="0" w:color="FFFFFF"/>
              <w:left w:val="nil"/>
              <w:bottom w:val="single" w:sz="4" w:space="0" w:color="FFFFFF"/>
              <w:right w:val="single" w:sz="4" w:space="0" w:color="FFFFFF"/>
            </w:tcBorders>
            <w:shd w:val="clear" w:color="FFF2CC" w:fill="FFF2CC"/>
            <w:noWrap/>
            <w:vAlign w:val="bottom"/>
            <w:hideMark/>
          </w:tcPr>
          <w:p w14:paraId="007A69A7"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Maximum</w:t>
            </w:r>
          </w:p>
        </w:tc>
        <w:tc>
          <w:tcPr>
            <w:tcW w:w="2348" w:type="dxa"/>
            <w:tcBorders>
              <w:top w:val="single" w:sz="4" w:space="0" w:color="FFFFFF"/>
              <w:left w:val="single" w:sz="4" w:space="0" w:color="FFFFFF"/>
              <w:bottom w:val="single" w:sz="4" w:space="0" w:color="FFFFFF"/>
              <w:right w:val="single" w:sz="4" w:space="0" w:color="FFFFFF"/>
            </w:tcBorders>
            <w:shd w:val="clear" w:color="FFF2CC" w:fill="FFF2CC"/>
            <w:noWrap/>
            <w:vAlign w:val="bottom"/>
            <w:hideMark/>
          </w:tcPr>
          <w:p w14:paraId="7333EBCE"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71.49</w:t>
            </w:r>
          </w:p>
        </w:tc>
        <w:tc>
          <w:tcPr>
            <w:tcW w:w="1711" w:type="dxa"/>
            <w:tcBorders>
              <w:top w:val="single" w:sz="4" w:space="0" w:color="FFFFFF"/>
              <w:left w:val="single" w:sz="4" w:space="0" w:color="FFFFFF"/>
              <w:bottom w:val="single" w:sz="4" w:space="0" w:color="FFFFFF"/>
              <w:right w:val="nil"/>
            </w:tcBorders>
            <w:shd w:val="clear" w:color="FFF2CC" w:fill="FFF2CC"/>
            <w:noWrap/>
            <w:vAlign w:val="bottom"/>
            <w:hideMark/>
          </w:tcPr>
          <w:p w14:paraId="29EA2A43"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42458100</w:t>
            </w:r>
          </w:p>
        </w:tc>
      </w:tr>
      <w:tr w:rsidR="00AA75A8" w:rsidRPr="00AA75A8" w14:paraId="3F830307" w14:textId="77777777" w:rsidTr="007A3DF7">
        <w:trPr>
          <w:trHeight w:val="447"/>
        </w:trPr>
        <w:tc>
          <w:tcPr>
            <w:tcW w:w="3322" w:type="dxa"/>
            <w:tcBorders>
              <w:top w:val="single" w:sz="4" w:space="0" w:color="FFFFFF"/>
              <w:left w:val="nil"/>
              <w:bottom w:val="single" w:sz="4" w:space="0" w:color="FFFFFF"/>
              <w:right w:val="single" w:sz="4" w:space="0" w:color="FFFFFF"/>
            </w:tcBorders>
            <w:shd w:val="clear" w:color="FFF2CC" w:fill="FFF2CC"/>
            <w:noWrap/>
            <w:vAlign w:val="bottom"/>
            <w:hideMark/>
          </w:tcPr>
          <w:p w14:paraId="7322FD8B"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Sum</w:t>
            </w:r>
          </w:p>
        </w:tc>
        <w:tc>
          <w:tcPr>
            <w:tcW w:w="2348" w:type="dxa"/>
            <w:tcBorders>
              <w:top w:val="single" w:sz="4" w:space="0" w:color="FFFFFF"/>
              <w:left w:val="single" w:sz="4" w:space="0" w:color="FFFFFF"/>
              <w:bottom w:val="single" w:sz="4" w:space="0" w:color="FFFFFF"/>
              <w:right w:val="single" w:sz="4" w:space="0" w:color="FFFFFF"/>
            </w:tcBorders>
            <w:shd w:val="clear" w:color="FFF2CC" w:fill="FFF2CC"/>
            <w:noWrap/>
            <w:vAlign w:val="bottom"/>
            <w:hideMark/>
          </w:tcPr>
          <w:p w14:paraId="2065A952"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6427.93</w:t>
            </w:r>
          </w:p>
        </w:tc>
        <w:tc>
          <w:tcPr>
            <w:tcW w:w="1711" w:type="dxa"/>
            <w:tcBorders>
              <w:top w:val="single" w:sz="4" w:space="0" w:color="FFFFFF"/>
              <w:left w:val="single" w:sz="4" w:space="0" w:color="FFFFFF"/>
              <w:bottom w:val="single" w:sz="4" w:space="0" w:color="FFFFFF"/>
              <w:right w:val="nil"/>
            </w:tcBorders>
            <w:shd w:val="clear" w:color="FFF2CC" w:fill="FFF2CC"/>
            <w:noWrap/>
            <w:vAlign w:val="bottom"/>
            <w:hideMark/>
          </w:tcPr>
          <w:p w14:paraId="771D70F3"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1.64E+09</w:t>
            </w:r>
          </w:p>
        </w:tc>
      </w:tr>
      <w:tr w:rsidR="00AA75A8" w:rsidRPr="00AA75A8" w14:paraId="3AD5B807" w14:textId="77777777" w:rsidTr="007A3DF7">
        <w:trPr>
          <w:trHeight w:val="447"/>
        </w:trPr>
        <w:tc>
          <w:tcPr>
            <w:tcW w:w="3322" w:type="dxa"/>
            <w:tcBorders>
              <w:top w:val="single" w:sz="4" w:space="0" w:color="FFFFFF"/>
              <w:left w:val="nil"/>
              <w:bottom w:val="nil"/>
              <w:right w:val="single" w:sz="4" w:space="0" w:color="FFFFFF"/>
            </w:tcBorders>
            <w:shd w:val="clear" w:color="FFF2CC" w:fill="FFF2CC"/>
            <w:noWrap/>
            <w:vAlign w:val="bottom"/>
            <w:hideMark/>
          </w:tcPr>
          <w:p w14:paraId="2017FAFD" w14:textId="77777777" w:rsidR="00AA75A8" w:rsidRPr="00AA75A8" w:rsidRDefault="00AA75A8" w:rsidP="00AA75A8">
            <w:pPr>
              <w:spacing w:after="0" w:line="240" w:lineRule="auto"/>
              <w:rPr>
                <w:rFonts w:ascii="Calibri" w:eastAsia="Times New Roman" w:hAnsi="Calibri" w:cs="Calibri"/>
                <w:b/>
                <w:bCs/>
                <w:color w:val="000000"/>
                <w:kern w:val="0"/>
                <w:sz w:val="22"/>
                <w:szCs w:val="22"/>
                <w:lang w:eastAsia="en-IN"/>
                <w14:ligatures w14:val="none"/>
              </w:rPr>
            </w:pPr>
            <w:r w:rsidRPr="00AA75A8">
              <w:rPr>
                <w:rFonts w:ascii="Calibri" w:eastAsia="Times New Roman" w:hAnsi="Calibri" w:cs="Calibri"/>
                <w:b/>
                <w:bCs/>
                <w:color w:val="000000"/>
                <w:kern w:val="0"/>
                <w:sz w:val="22"/>
                <w:szCs w:val="22"/>
                <w:lang w:eastAsia="en-IN"/>
                <w14:ligatures w14:val="none"/>
              </w:rPr>
              <w:t>Count</w:t>
            </w:r>
          </w:p>
        </w:tc>
        <w:tc>
          <w:tcPr>
            <w:tcW w:w="2348" w:type="dxa"/>
            <w:tcBorders>
              <w:top w:val="single" w:sz="4" w:space="0" w:color="FFFFFF"/>
              <w:left w:val="single" w:sz="4" w:space="0" w:color="FFFFFF"/>
              <w:bottom w:val="nil"/>
              <w:right w:val="single" w:sz="4" w:space="0" w:color="FFFFFF"/>
            </w:tcBorders>
            <w:shd w:val="clear" w:color="FFF2CC" w:fill="FFF2CC"/>
            <w:noWrap/>
            <w:vAlign w:val="bottom"/>
            <w:hideMark/>
          </w:tcPr>
          <w:p w14:paraId="53046E69"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99</w:t>
            </w:r>
          </w:p>
        </w:tc>
        <w:tc>
          <w:tcPr>
            <w:tcW w:w="1711" w:type="dxa"/>
            <w:tcBorders>
              <w:top w:val="single" w:sz="4" w:space="0" w:color="FFFFFF"/>
              <w:left w:val="single" w:sz="4" w:space="0" w:color="FFFFFF"/>
              <w:bottom w:val="nil"/>
              <w:right w:val="nil"/>
            </w:tcBorders>
            <w:shd w:val="clear" w:color="FFF2CC" w:fill="FFF2CC"/>
            <w:noWrap/>
            <w:vAlign w:val="bottom"/>
            <w:hideMark/>
          </w:tcPr>
          <w:p w14:paraId="6C0C9C51" w14:textId="77777777" w:rsidR="00AA75A8" w:rsidRPr="00AA75A8" w:rsidRDefault="00AA75A8" w:rsidP="00AA75A8">
            <w:pPr>
              <w:spacing w:after="0" w:line="240" w:lineRule="auto"/>
              <w:jc w:val="right"/>
              <w:rPr>
                <w:rFonts w:ascii="Calibri" w:eastAsia="Times New Roman" w:hAnsi="Calibri" w:cs="Calibri"/>
                <w:color w:val="000000"/>
                <w:kern w:val="0"/>
                <w:sz w:val="22"/>
                <w:szCs w:val="22"/>
                <w:lang w:eastAsia="en-IN"/>
                <w14:ligatures w14:val="none"/>
              </w:rPr>
            </w:pPr>
            <w:r w:rsidRPr="00AA75A8">
              <w:rPr>
                <w:rFonts w:ascii="Calibri" w:eastAsia="Times New Roman" w:hAnsi="Calibri" w:cs="Calibri"/>
                <w:color w:val="000000"/>
                <w:kern w:val="0"/>
                <w:sz w:val="22"/>
                <w:szCs w:val="22"/>
                <w:lang w:eastAsia="en-IN"/>
                <w14:ligatures w14:val="none"/>
              </w:rPr>
              <w:t>99</w:t>
            </w:r>
          </w:p>
        </w:tc>
      </w:tr>
    </w:tbl>
    <w:p w14:paraId="7FEEB6D0" w14:textId="77777777" w:rsidR="0042589F" w:rsidRDefault="0042589F" w:rsidP="0042589F">
      <w:pPr>
        <w:rPr>
          <w:rFonts w:ascii="Times New Roman" w:hAnsi="Times New Roman" w:cs="Times New Roman"/>
          <w:sz w:val="28"/>
          <w:szCs w:val="28"/>
        </w:rPr>
      </w:pPr>
    </w:p>
    <w:p w14:paraId="3CDAA0CF" w14:textId="77777777" w:rsidR="007A3DF7" w:rsidRDefault="007A3DF7" w:rsidP="0042589F">
      <w:pPr>
        <w:rPr>
          <w:rFonts w:ascii="Times New Roman" w:hAnsi="Times New Roman" w:cs="Times New Roman"/>
          <w:sz w:val="28"/>
          <w:szCs w:val="28"/>
        </w:rPr>
      </w:pPr>
    </w:p>
    <w:p w14:paraId="07F844B9" w14:textId="0468A04F" w:rsidR="0042589F" w:rsidRPr="0042589F" w:rsidRDefault="0042589F" w:rsidP="0042589F">
      <w:pPr>
        <w:rPr>
          <w:rFonts w:ascii="Times New Roman" w:hAnsi="Times New Roman" w:cs="Times New Roman"/>
          <w:sz w:val="28"/>
          <w:szCs w:val="28"/>
        </w:rPr>
      </w:pPr>
      <w:r w:rsidRPr="0042589F">
        <w:rPr>
          <w:rFonts w:ascii="Times New Roman" w:hAnsi="Times New Roman" w:cs="Times New Roman"/>
          <w:sz w:val="28"/>
          <w:szCs w:val="28"/>
        </w:rPr>
        <w:t>Coca-Cola's stock shows moderate stability with an average closing price of $64.93 and trading volume of 16.58 million shares. The price range of $10.68 indicates controlled fluctuations, while a standard deviation of 3.19 suggests low volatility.</w:t>
      </w:r>
    </w:p>
    <w:p w14:paraId="5A7129E6" w14:textId="77777777" w:rsidR="0042589F" w:rsidRPr="0042589F" w:rsidRDefault="0042589F" w:rsidP="0042589F">
      <w:pPr>
        <w:rPr>
          <w:rFonts w:ascii="Times New Roman" w:hAnsi="Times New Roman" w:cs="Times New Roman"/>
          <w:sz w:val="28"/>
          <w:szCs w:val="28"/>
        </w:rPr>
      </w:pPr>
      <w:r w:rsidRPr="0042589F">
        <w:rPr>
          <w:rFonts w:ascii="Times New Roman" w:hAnsi="Times New Roman" w:cs="Times New Roman"/>
          <w:sz w:val="28"/>
          <w:szCs w:val="28"/>
        </w:rPr>
        <w:t>The slight positive skewness (0.79) implies prices lean toward growth, while kurtosis (-0.89) indicates fewer extreme price movements. Trading volume varies significantly, showing shifts in investor interest.</w:t>
      </w:r>
    </w:p>
    <w:p w14:paraId="2D36926B" w14:textId="77777777" w:rsidR="009920BF" w:rsidRDefault="009920BF" w:rsidP="00FC1AF4">
      <w:pPr>
        <w:rPr>
          <w:rFonts w:ascii="Times New Roman" w:hAnsi="Times New Roman" w:cs="Times New Roman"/>
          <w:sz w:val="28"/>
          <w:szCs w:val="28"/>
        </w:rPr>
      </w:pPr>
    </w:p>
    <w:p w14:paraId="756D5871" w14:textId="77777777" w:rsidR="009920BF" w:rsidRDefault="009920BF" w:rsidP="00FC1AF4">
      <w:pPr>
        <w:rPr>
          <w:rFonts w:ascii="Times New Roman" w:hAnsi="Times New Roman" w:cs="Times New Roman"/>
          <w:sz w:val="28"/>
          <w:szCs w:val="28"/>
        </w:rPr>
      </w:pPr>
    </w:p>
    <w:p w14:paraId="60E526AA" w14:textId="219BEA04" w:rsidR="00FC1AF4" w:rsidRPr="00FC1AF4" w:rsidRDefault="00FC1AF4" w:rsidP="00FC1AF4">
      <w:pPr>
        <w:rPr>
          <w:rFonts w:ascii="Times New Roman" w:hAnsi="Times New Roman" w:cs="Times New Roman"/>
          <w:b/>
          <w:bCs/>
          <w:sz w:val="28"/>
          <w:szCs w:val="28"/>
        </w:rPr>
      </w:pPr>
      <w:r w:rsidRPr="00FC1AF4">
        <w:rPr>
          <w:rFonts w:ascii="Times New Roman" w:hAnsi="Times New Roman" w:cs="Times New Roman"/>
          <w:b/>
          <w:bCs/>
          <w:sz w:val="28"/>
          <w:szCs w:val="28"/>
        </w:rPr>
        <w:lastRenderedPageBreak/>
        <w:t>4. Graphical Analysis</w:t>
      </w:r>
    </w:p>
    <w:p w14:paraId="02DD972E" w14:textId="6337AB39" w:rsidR="007459BE" w:rsidRDefault="00FC1AF4" w:rsidP="00FC1AF4">
      <w:pPr>
        <w:rPr>
          <w:rFonts w:ascii="Times New Roman" w:hAnsi="Times New Roman" w:cs="Times New Roman"/>
          <w:b/>
          <w:bCs/>
        </w:rPr>
      </w:pPr>
      <w:r w:rsidRPr="00FC1AF4">
        <w:rPr>
          <w:rFonts w:ascii="Times New Roman" w:hAnsi="Times New Roman" w:cs="Times New Roman"/>
          <w:b/>
          <w:bCs/>
        </w:rPr>
        <w:t>4.1 Stock Price Trend</w:t>
      </w:r>
      <w:r w:rsidR="0089297D">
        <w:rPr>
          <w:rFonts w:ascii="Times New Roman" w:hAnsi="Times New Roman" w:cs="Times New Roman"/>
          <w:b/>
          <w:bCs/>
        </w:rPr>
        <w:t xml:space="preserve"> </w:t>
      </w:r>
    </w:p>
    <w:p w14:paraId="74210E44" w14:textId="40DC08C3" w:rsidR="007459BE" w:rsidRDefault="0089297D" w:rsidP="007459BE">
      <w:pPr>
        <w:jc w:val="center"/>
        <w:rPr>
          <w:rFonts w:ascii="Times New Roman" w:hAnsi="Times New Roman" w:cs="Times New Roman"/>
          <w:b/>
          <w:bCs/>
        </w:rPr>
      </w:pPr>
      <w:r>
        <w:rPr>
          <w:rFonts w:ascii="Times New Roman" w:hAnsi="Times New Roman" w:cs="Times New Roman"/>
          <w:b/>
          <w:bCs/>
        </w:rPr>
        <w:t xml:space="preserve">         </w:t>
      </w:r>
      <w:r w:rsidR="007459BE">
        <w:rPr>
          <w:rFonts w:ascii="Times New Roman" w:hAnsi="Times New Roman" w:cs="Times New Roman"/>
          <w:b/>
          <w:bCs/>
        </w:rPr>
        <w:t xml:space="preserve">PEPSI </w:t>
      </w:r>
    </w:p>
    <w:p w14:paraId="7BFAB1D0" w14:textId="34D9435D" w:rsidR="007459BE" w:rsidRDefault="003D0276" w:rsidP="00FC1AF4">
      <w:pPr>
        <w:rPr>
          <w:rFonts w:ascii="Times New Roman" w:hAnsi="Times New Roman" w:cs="Times New Roman"/>
          <w:b/>
          <w:bCs/>
        </w:rPr>
      </w:pPr>
      <w:r>
        <w:rPr>
          <w:noProof/>
        </w:rPr>
        <w:drawing>
          <wp:inline distT="0" distB="0" distL="0" distR="0" wp14:anchorId="69FEC092" wp14:editId="3A37BDA7">
            <wp:extent cx="6083300" cy="3238500"/>
            <wp:effectExtent l="0" t="0" r="12700" b="0"/>
            <wp:docPr id="120371929" name="Chart 1">
              <a:extLst xmlns:a="http://schemas.openxmlformats.org/drawingml/2006/main">
                <a:ext uri="{FF2B5EF4-FFF2-40B4-BE49-F238E27FC236}">
                  <a16:creationId xmlns:a16="http://schemas.microsoft.com/office/drawing/2014/main" id="{1FD61FCD-861D-E62A-BC3F-3ACFB1EBB7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3CC13AF" w14:textId="1A76E092" w:rsidR="0089297D" w:rsidRDefault="007459BE" w:rsidP="007459BE">
      <w:pPr>
        <w:jc w:val="center"/>
        <w:rPr>
          <w:rFonts w:ascii="Times New Roman" w:hAnsi="Times New Roman" w:cs="Times New Roman"/>
          <w:b/>
          <w:bCs/>
        </w:rPr>
      </w:pPr>
      <w:r w:rsidRPr="00FC1AF4">
        <w:rPr>
          <w:rFonts w:ascii="Times New Roman" w:hAnsi="Times New Roman" w:cs="Times New Roman"/>
          <w:b/>
          <w:bCs/>
        </w:rPr>
        <w:t>Coca-Cola</w:t>
      </w:r>
      <w:r w:rsidRPr="00FC1AF4">
        <w:rPr>
          <w:rFonts w:ascii="Times New Roman" w:hAnsi="Times New Roman" w:cs="Times New Roman"/>
        </w:rPr>
        <w:t xml:space="preserve"> </w:t>
      </w:r>
    </w:p>
    <w:p w14:paraId="7539D6D3" w14:textId="5B5D4CA4" w:rsidR="0092438C" w:rsidRPr="009920BF" w:rsidRDefault="003D0276" w:rsidP="0092438C">
      <w:pPr>
        <w:rPr>
          <w:rFonts w:ascii="Times New Roman" w:hAnsi="Times New Roman" w:cs="Times New Roman"/>
          <w:b/>
          <w:bCs/>
        </w:rPr>
      </w:pPr>
      <w:r>
        <w:rPr>
          <w:noProof/>
        </w:rPr>
        <w:drawing>
          <wp:inline distT="0" distB="0" distL="0" distR="0" wp14:anchorId="51968522" wp14:editId="464E9970">
            <wp:extent cx="6281057" cy="3217545"/>
            <wp:effectExtent l="0" t="0" r="5715" b="1905"/>
            <wp:docPr id="1901153740" name="Chart 1">
              <a:extLst xmlns:a="http://schemas.openxmlformats.org/drawingml/2006/main">
                <a:ext uri="{FF2B5EF4-FFF2-40B4-BE49-F238E27FC236}">
                  <a16:creationId xmlns:a16="http://schemas.microsoft.com/office/drawing/2014/main" id="{5C065415-2D25-3BE1-B83E-3ADE752F82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92438C" w:rsidRPr="00F6022C">
        <w:t xml:space="preserve">A </w:t>
      </w:r>
      <w:r w:rsidR="0092438C" w:rsidRPr="00F6022C">
        <w:rPr>
          <w:b/>
          <w:bCs/>
        </w:rPr>
        <w:t>line chart</w:t>
      </w:r>
      <w:r w:rsidR="0092438C" w:rsidRPr="00F6022C">
        <w:t xml:space="preserve"> was used to visualize stock price trends for </w:t>
      </w:r>
      <w:r w:rsidR="0092438C" w:rsidRPr="00F6022C">
        <w:rPr>
          <w:b/>
          <w:bCs/>
        </w:rPr>
        <w:t>PepsiCo and Coca-Cola</w:t>
      </w:r>
      <w:r w:rsidR="0092438C" w:rsidRPr="00F6022C">
        <w:t xml:space="preserve"> over time. This helps track the </w:t>
      </w:r>
      <w:r w:rsidR="0092438C" w:rsidRPr="00F6022C">
        <w:rPr>
          <w:b/>
          <w:bCs/>
        </w:rPr>
        <w:t>closing price fluctuations</w:t>
      </w:r>
      <w:r w:rsidR="0092438C" w:rsidRPr="00F6022C">
        <w:t>, highlighting overall market trends and seasonal variations in stock performance.</w:t>
      </w:r>
    </w:p>
    <w:p w14:paraId="58AA4F3F" w14:textId="77777777" w:rsidR="009920BF" w:rsidRDefault="009920BF" w:rsidP="00FC1AF4">
      <w:pPr>
        <w:rPr>
          <w:rFonts w:ascii="Times New Roman" w:hAnsi="Times New Roman" w:cs="Times New Roman"/>
          <w:b/>
          <w:bCs/>
        </w:rPr>
      </w:pPr>
    </w:p>
    <w:p w14:paraId="7699BA2F" w14:textId="255212DC" w:rsidR="00FC1AF4" w:rsidRPr="003D0276" w:rsidRDefault="00FC1AF4" w:rsidP="00FC1AF4">
      <w:pPr>
        <w:rPr>
          <w:rFonts w:ascii="Times New Roman" w:hAnsi="Times New Roman" w:cs="Times New Roman"/>
        </w:rPr>
      </w:pPr>
      <w:r w:rsidRPr="00FC1AF4">
        <w:rPr>
          <w:rFonts w:ascii="Times New Roman" w:hAnsi="Times New Roman" w:cs="Times New Roman"/>
          <w:b/>
          <w:bCs/>
        </w:rPr>
        <w:lastRenderedPageBreak/>
        <w:t>4.2 High vs. Low Price Trend</w:t>
      </w:r>
    </w:p>
    <w:p w14:paraId="351B006B" w14:textId="77777777" w:rsidR="007459BE" w:rsidRDefault="007459BE" w:rsidP="007459BE">
      <w:pPr>
        <w:jc w:val="center"/>
        <w:rPr>
          <w:rFonts w:ascii="Times New Roman" w:hAnsi="Times New Roman" w:cs="Times New Roman"/>
        </w:rPr>
      </w:pPr>
    </w:p>
    <w:p w14:paraId="5FE68BF8" w14:textId="01754350" w:rsidR="007459BE" w:rsidRDefault="007459BE" w:rsidP="007459BE">
      <w:pPr>
        <w:jc w:val="center"/>
        <w:rPr>
          <w:rFonts w:ascii="Times New Roman" w:hAnsi="Times New Roman" w:cs="Times New Roman"/>
        </w:rPr>
      </w:pPr>
      <w:r w:rsidRPr="00FC1AF4">
        <w:rPr>
          <w:rFonts w:ascii="Times New Roman" w:hAnsi="Times New Roman" w:cs="Times New Roman"/>
          <w:b/>
          <w:bCs/>
        </w:rPr>
        <w:t>PepsiCo</w:t>
      </w:r>
      <w:r>
        <w:rPr>
          <w:noProof/>
        </w:rPr>
        <w:t xml:space="preserve"> </w:t>
      </w:r>
    </w:p>
    <w:p w14:paraId="1F52F248" w14:textId="6E8188A9" w:rsidR="007459BE" w:rsidRDefault="003D0276" w:rsidP="00FC1AF4">
      <w:pPr>
        <w:rPr>
          <w:rFonts w:ascii="Times New Roman" w:hAnsi="Times New Roman" w:cs="Times New Roman"/>
        </w:rPr>
      </w:pPr>
      <w:r>
        <w:rPr>
          <w:noProof/>
        </w:rPr>
        <w:drawing>
          <wp:anchor distT="0" distB="0" distL="114300" distR="114300" simplePos="0" relativeHeight="251665408" behindDoc="1" locked="0" layoutInCell="1" allowOverlap="1" wp14:anchorId="7A64A112" wp14:editId="72EE3A3F">
            <wp:simplePos x="0" y="0"/>
            <wp:positionH relativeFrom="column">
              <wp:posOffset>711200</wp:posOffset>
            </wp:positionH>
            <wp:positionV relativeFrom="paragraph">
              <wp:posOffset>13335</wp:posOffset>
            </wp:positionV>
            <wp:extent cx="4140200" cy="2463800"/>
            <wp:effectExtent l="0" t="0" r="12700" b="12700"/>
            <wp:wrapTight wrapText="bothSides">
              <wp:wrapPolygon edited="0">
                <wp:start x="0" y="0"/>
                <wp:lineTo x="0" y="21544"/>
                <wp:lineTo x="21567" y="21544"/>
                <wp:lineTo x="21567" y="0"/>
                <wp:lineTo x="0" y="0"/>
              </wp:wrapPolygon>
            </wp:wrapTight>
            <wp:docPr id="516146431" name="Chart 1">
              <a:extLst xmlns:a="http://schemas.openxmlformats.org/drawingml/2006/main">
                <a:ext uri="{FF2B5EF4-FFF2-40B4-BE49-F238E27FC236}">
                  <a16:creationId xmlns:a16="http://schemas.microsoft.com/office/drawing/2014/main" id="{B1B3998A-01CC-3613-F0FE-49DFF746C6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54E84249" w14:textId="77777777" w:rsidR="007459BE" w:rsidRDefault="007459BE" w:rsidP="00FC1AF4">
      <w:pPr>
        <w:rPr>
          <w:rFonts w:ascii="Times New Roman" w:hAnsi="Times New Roman" w:cs="Times New Roman"/>
        </w:rPr>
      </w:pPr>
    </w:p>
    <w:p w14:paraId="5E0155E0" w14:textId="77777777" w:rsidR="007459BE" w:rsidRDefault="007459BE" w:rsidP="00FC1AF4">
      <w:pPr>
        <w:rPr>
          <w:rFonts w:ascii="Times New Roman" w:hAnsi="Times New Roman" w:cs="Times New Roman"/>
        </w:rPr>
      </w:pPr>
    </w:p>
    <w:p w14:paraId="14DFE8CF" w14:textId="77777777" w:rsidR="007459BE" w:rsidRDefault="007459BE" w:rsidP="00FC1AF4">
      <w:pPr>
        <w:rPr>
          <w:rFonts w:ascii="Times New Roman" w:hAnsi="Times New Roman" w:cs="Times New Roman"/>
        </w:rPr>
      </w:pPr>
    </w:p>
    <w:p w14:paraId="45059523" w14:textId="77777777" w:rsidR="007459BE" w:rsidRDefault="007459BE" w:rsidP="00FC1AF4">
      <w:pPr>
        <w:rPr>
          <w:rFonts w:ascii="Times New Roman" w:hAnsi="Times New Roman" w:cs="Times New Roman"/>
        </w:rPr>
      </w:pPr>
    </w:p>
    <w:p w14:paraId="1974679C" w14:textId="77777777" w:rsidR="007459BE" w:rsidRDefault="007459BE" w:rsidP="00FC1AF4">
      <w:pPr>
        <w:rPr>
          <w:rFonts w:ascii="Times New Roman" w:hAnsi="Times New Roman" w:cs="Times New Roman"/>
        </w:rPr>
      </w:pPr>
    </w:p>
    <w:p w14:paraId="17D4FAA3" w14:textId="77777777" w:rsidR="007459BE" w:rsidRDefault="007459BE" w:rsidP="00FC1AF4">
      <w:pPr>
        <w:rPr>
          <w:rFonts w:ascii="Times New Roman" w:hAnsi="Times New Roman" w:cs="Times New Roman"/>
        </w:rPr>
      </w:pPr>
    </w:p>
    <w:p w14:paraId="756A483C" w14:textId="77777777" w:rsidR="007459BE" w:rsidRDefault="007459BE" w:rsidP="00FC1AF4">
      <w:pPr>
        <w:rPr>
          <w:rFonts w:ascii="Times New Roman" w:hAnsi="Times New Roman" w:cs="Times New Roman"/>
        </w:rPr>
      </w:pPr>
    </w:p>
    <w:p w14:paraId="131C9969" w14:textId="77777777" w:rsidR="007459BE" w:rsidRDefault="007459BE" w:rsidP="00FC1AF4">
      <w:pPr>
        <w:rPr>
          <w:rFonts w:ascii="Times New Roman" w:hAnsi="Times New Roman" w:cs="Times New Roman"/>
        </w:rPr>
      </w:pPr>
    </w:p>
    <w:p w14:paraId="7AF9FE79" w14:textId="1A6A7BB5" w:rsidR="007459BE" w:rsidRDefault="007459BE" w:rsidP="007459BE">
      <w:pPr>
        <w:jc w:val="center"/>
        <w:rPr>
          <w:rFonts w:ascii="Times New Roman" w:hAnsi="Times New Roman" w:cs="Times New Roman"/>
          <w:b/>
          <w:bCs/>
        </w:rPr>
      </w:pPr>
      <w:r>
        <w:rPr>
          <w:rFonts w:ascii="Times New Roman" w:hAnsi="Times New Roman" w:cs="Times New Roman"/>
          <w:b/>
          <w:bCs/>
        </w:rPr>
        <w:t>C</w:t>
      </w:r>
      <w:r w:rsidRPr="00FC1AF4">
        <w:rPr>
          <w:rFonts w:ascii="Times New Roman" w:hAnsi="Times New Roman" w:cs="Times New Roman"/>
          <w:b/>
          <w:bCs/>
        </w:rPr>
        <w:t xml:space="preserve">oca-Cola </w:t>
      </w:r>
    </w:p>
    <w:p w14:paraId="7475A13F" w14:textId="537D917B" w:rsidR="007459BE" w:rsidRDefault="003D0276" w:rsidP="00FC1AF4">
      <w:pPr>
        <w:rPr>
          <w:rFonts w:ascii="Times New Roman" w:hAnsi="Times New Roman" w:cs="Times New Roman"/>
        </w:rPr>
      </w:pPr>
      <w:r>
        <w:rPr>
          <w:noProof/>
        </w:rPr>
        <w:drawing>
          <wp:anchor distT="0" distB="0" distL="114300" distR="114300" simplePos="0" relativeHeight="251666432" behindDoc="1" locked="0" layoutInCell="1" allowOverlap="1" wp14:anchorId="18053073" wp14:editId="506135F4">
            <wp:simplePos x="0" y="0"/>
            <wp:positionH relativeFrom="column">
              <wp:posOffset>584200</wp:posOffset>
            </wp:positionH>
            <wp:positionV relativeFrom="paragraph">
              <wp:posOffset>307340</wp:posOffset>
            </wp:positionV>
            <wp:extent cx="4330700" cy="2616200"/>
            <wp:effectExtent l="0" t="0" r="12700" b="12700"/>
            <wp:wrapTight wrapText="bothSides">
              <wp:wrapPolygon edited="0">
                <wp:start x="0" y="0"/>
                <wp:lineTo x="0" y="21548"/>
                <wp:lineTo x="21568" y="21548"/>
                <wp:lineTo x="21568" y="0"/>
                <wp:lineTo x="0" y="0"/>
              </wp:wrapPolygon>
            </wp:wrapTight>
            <wp:docPr id="959905608" name="Chart 1">
              <a:extLst xmlns:a="http://schemas.openxmlformats.org/drawingml/2006/main">
                <a:ext uri="{FF2B5EF4-FFF2-40B4-BE49-F238E27FC236}">
                  <a16:creationId xmlns:a16="http://schemas.microsoft.com/office/drawing/2014/main" id="{250B00B9-A452-0DAF-876C-C7E00278FA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2DA320A0" w14:textId="314C3442" w:rsidR="007459BE" w:rsidRDefault="007459BE" w:rsidP="00FC1AF4">
      <w:pPr>
        <w:rPr>
          <w:rFonts w:ascii="Times New Roman" w:hAnsi="Times New Roman" w:cs="Times New Roman"/>
        </w:rPr>
      </w:pPr>
    </w:p>
    <w:p w14:paraId="0F87DFB6" w14:textId="77777777" w:rsidR="007459BE" w:rsidRDefault="007459BE" w:rsidP="00FC1AF4">
      <w:pPr>
        <w:rPr>
          <w:rFonts w:ascii="Times New Roman" w:hAnsi="Times New Roman" w:cs="Times New Roman"/>
        </w:rPr>
      </w:pPr>
    </w:p>
    <w:p w14:paraId="4BBEF012" w14:textId="77777777" w:rsidR="007459BE" w:rsidRDefault="007459BE" w:rsidP="00FC1AF4">
      <w:pPr>
        <w:rPr>
          <w:rFonts w:ascii="Times New Roman" w:hAnsi="Times New Roman" w:cs="Times New Roman"/>
        </w:rPr>
      </w:pPr>
    </w:p>
    <w:p w14:paraId="3CE05B37" w14:textId="77777777" w:rsidR="007459BE" w:rsidRDefault="007459BE" w:rsidP="00FC1AF4">
      <w:pPr>
        <w:rPr>
          <w:rFonts w:ascii="Times New Roman" w:hAnsi="Times New Roman" w:cs="Times New Roman"/>
        </w:rPr>
      </w:pPr>
    </w:p>
    <w:p w14:paraId="66C16187" w14:textId="77777777" w:rsidR="007459BE" w:rsidRDefault="007459BE" w:rsidP="00FC1AF4">
      <w:pPr>
        <w:rPr>
          <w:rFonts w:ascii="Times New Roman" w:hAnsi="Times New Roman" w:cs="Times New Roman"/>
        </w:rPr>
      </w:pPr>
    </w:p>
    <w:p w14:paraId="3600DEB3" w14:textId="77777777" w:rsidR="007459BE" w:rsidRDefault="007459BE" w:rsidP="00FC1AF4">
      <w:pPr>
        <w:rPr>
          <w:rFonts w:ascii="Times New Roman" w:hAnsi="Times New Roman" w:cs="Times New Roman"/>
        </w:rPr>
      </w:pPr>
    </w:p>
    <w:p w14:paraId="0566C659" w14:textId="77777777" w:rsidR="007459BE" w:rsidRDefault="007459BE" w:rsidP="00FC1AF4">
      <w:pPr>
        <w:rPr>
          <w:rFonts w:ascii="Times New Roman" w:hAnsi="Times New Roman" w:cs="Times New Roman"/>
        </w:rPr>
      </w:pPr>
    </w:p>
    <w:p w14:paraId="265E2E53" w14:textId="77777777" w:rsidR="007459BE" w:rsidRDefault="007459BE" w:rsidP="00FC1AF4">
      <w:pPr>
        <w:rPr>
          <w:rFonts w:ascii="Times New Roman" w:hAnsi="Times New Roman" w:cs="Times New Roman"/>
        </w:rPr>
      </w:pPr>
    </w:p>
    <w:p w14:paraId="2BF2DE09" w14:textId="77777777" w:rsidR="007459BE" w:rsidRDefault="007459BE" w:rsidP="00FC1AF4">
      <w:pPr>
        <w:rPr>
          <w:rFonts w:ascii="Times New Roman" w:hAnsi="Times New Roman" w:cs="Times New Roman"/>
        </w:rPr>
      </w:pPr>
    </w:p>
    <w:p w14:paraId="40010CA4" w14:textId="77777777" w:rsidR="007459BE" w:rsidRDefault="007459BE" w:rsidP="00FC1AF4">
      <w:pPr>
        <w:rPr>
          <w:rFonts w:ascii="Times New Roman" w:hAnsi="Times New Roman" w:cs="Times New Roman"/>
        </w:rPr>
      </w:pPr>
    </w:p>
    <w:p w14:paraId="6FCACF11" w14:textId="77777777" w:rsidR="0092438C" w:rsidRPr="00F6022C" w:rsidRDefault="0092438C" w:rsidP="0092438C">
      <w:r w:rsidRPr="00F6022C">
        <w:t xml:space="preserve">A </w:t>
      </w:r>
      <w:r w:rsidRPr="00F6022C">
        <w:rPr>
          <w:b/>
          <w:bCs/>
        </w:rPr>
        <w:t>pie chart</w:t>
      </w:r>
      <w:r w:rsidRPr="00F6022C">
        <w:t xml:space="preserve"> was used to represent the proportion of high and low prices over time. This method provides a clear comparative analysis of stock fluctuations. Larger sections in the pie chart indicate a greater difference between the highest and lowest daily prices, signifying higher market volatility. This approach helps in understanding how often stock prices reach extremes, aiding in risk assessment.</w:t>
      </w:r>
    </w:p>
    <w:p w14:paraId="6BC89979" w14:textId="77777777" w:rsidR="007459BE" w:rsidRDefault="007459BE" w:rsidP="00FC1AF4">
      <w:pPr>
        <w:rPr>
          <w:rFonts w:ascii="Times New Roman" w:hAnsi="Times New Roman" w:cs="Times New Roman"/>
          <w:b/>
          <w:bCs/>
        </w:rPr>
      </w:pPr>
    </w:p>
    <w:p w14:paraId="4EF7F3AD" w14:textId="77B5C062" w:rsidR="00FC1AF4" w:rsidRPr="00FC1AF4" w:rsidRDefault="00FC1AF4" w:rsidP="00FC1AF4">
      <w:pPr>
        <w:rPr>
          <w:rFonts w:ascii="Times New Roman" w:hAnsi="Times New Roman" w:cs="Times New Roman"/>
          <w:b/>
          <w:bCs/>
        </w:rPr>
      </w:pPr>
      <w:r w:rsidRPr="00FC1AF4">
        <w:rPr>
          <w:rFonts w:ascii="Times New Roman" w:hAnsi="Times New Roman" w:cs="Times New Roman"/>
          <w:b/>
          <w:bCs/>
        </w:rPr>
        <w:lastRenderedPageBreak/>
        <w:t>4.3 Trading Volume Analysis</w:t>
      </w:r>
    </w:p>
    <w:p w14:paraId="10288416" w14:textId="77777777" w:rsidR="007459BE" w:rsidRDefault="007459BE" w:rsidP="007459BE">
      <w:pPr>
        <w:jc w:val="center"/>
        <w:rPr>
          <w:rFonts w:ascii="Times New Roman" w:hAnsi="Times New Roman" w:cs="Times New Roman"/>
        </w:rPr>
      </w:pPr>
    </w:p>
    <w:p w14:paraId="768BE101" w14:textId="67898E64" w:rsidR="007459BE" w:rsidRDefault="007459BE" w:rsidP="007459BE">
      <w:pPr>
        <w:jc w:val="center"/>
        <w:rPr>
          <w:rFonts w:ascii="Times New Roman" w:hAnsi="Times New Roman" w:cs="Times New Roman"/>
        </w:rPr>
      </w:pPr>
      <w:r w:rsidRPr="00FC1AF4">
        <w:rPr>
          <w:rFonts w:ascii="Times New Roman" w:hAnsi="Times New Roman" w:cs="Times New Roman"/>
          <w:b/>
          <w:bCs/>
        </w:rPr>
        <w:t>PepsiCo</w:t>
      </w:r>
    </w:p>
    <w:p w14:paraId="186DB0A1" w14:textId="1312D553" w:rsidR="007459BE" w:rsidRDefault="003D0276" w:rsidP="00FC1AF4">
      <w:pPr>
        <w:rPr>
          <w:rFonts w:ascii="Times New Roman" w:hAnsi="Times New Roman" w:cs="Times New Roman"/>
        </w:rPr>
      </w:pPr>
      <w:r>
        <w:rPr>
          <w:noProof/>
        </w:rPr>
        <w:drawing>
          <wp:inline distT="0" distB="0" distL="0" distR="0" wp14:anchorId="427F317D" wp14:editId="3F374493">
            <wp:extent cx="5346700" cy="2692400"/>
            <wp:effectExtent l="0" t="0" r="6350" b="12700"/>
            <wp:docPr id="1637989328" name="Chart 1">
              <a:extLst xmlns:a="http://schemas.openxmlformats.org/drawingml/2006/main">
                <a:ext uri="{FF2B5EF4-FFF2-40B4-BE49-F238E27FC236}">
                  <a16:creationId xmlns:a16="http://schemas.microsoft.com/office/drawing/2014/main" id="{D14562BB-18A6-82F0-4E9C-C2AF5FC931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A8DCF5D" w14:textId="548E87D9" w:rsidR="007459BE" w:rsidRDefault="00C42CB5" w:rsidP="003D0276">
      <w:pPr>
        <w:rPr>
          <w:rFonts w:ascii="Times New Roman" w:hAnsi="Times New Roman" w:cs="Times New Roman"/>
        </w:rPr>
      </w:pPr>
      <w:r>
        <w:rPr>
          <w:noProof/>
        </w:rPr>
        <w:drawing>
          <wp:anchor distT="0" distB="0" distL="114300" distR="114300" simplePos="0" relativeHeight="251667456" behindDoc="1" locked="0" layoutInCell="1" allowOverlap="1" wp14:anchorId="2497C6ED" wp14:editId="3C5FAA6E">
            <wp:simplePos x="0" y="0"/>
            <wp:positionH relativeFrom="margin">
              <wp:align>left</wp:align>
            </wp:positionH>
            <wp:positionV relativeFrom="paragraph">
              <wp:posOffset>314325</wp:posOffset>
            </wp:positionV>
            <wp:extent cx="5588000" cy="2679700"/>
            <wp:effectExtent l="0" t="0" r="12700" b="6350"/>
            <wp:wrapTight wrapText="bothSides">
              <wp:wrapPolygon edited="0">
                <wp:start x="0" y="0"/>
                <wp:lineTo x="0" y="21498"/>
                <wp:lineTo x="21575" y="21498"/>
                <wp:lineTo x="21575" y="0"/>
                <wp:lineTo x="0" y="0"/>
              </wp:wrapPolygon>
            </wp:wrapTight>
            <wp:docPr id="1681104681" name="Chart 1">
              <a:extLst xmlns:a="http://schemas.openxmlformats.org/drawingml/2006/main">
                <a:ext uri="{FF2B5EF4-FFF2-40B4-BE49-F238E27FC236}">
                  <a16:creationId xmlns:a16="http://schemas.microsoft.com/office/drawing/2014/main" id="{E8AC00B5-8387-4CBF-B6BC-78CC3E5721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3D0276">
        <w:rPr>
          <w:rFonts w:ascii="Times New Roman" w:hAnsi="Times New Roman" w:cs="Times New Roman"/>
        </w:rPr>
        <w:t xml:space="preserve">                                                                         </w:t>
      </w:r>
      <w:r w:rsidR="00704DA7" w:rsidRPr="00FC1AF4">
        <w:rPr>
          <w:rFonts w:ascii="Times New Roman" w:hAnsi="Times New Roman" w:cs="Times New Roman"/>
          <w:b/>
          <w:bCs/>
        </w:rPr>
        <w:t>Coca-Cola</w:t>
      </w:r>
      <w:r w:rsidR="00704DA7" w:rsidRPr="00FC1AF4">
        <w:rPr>
          <w:rFonts w:ascii="Times New Roman" w:hAnsi="Times New Roman" w:cs="Times New Roman"/>
        </w:rPr>
        <w:t xml:space="preserve"> </w:t>
      </w:r>
    </w:p>
    <w:p w14:paraId="6C8ECC21" w14:textId="77777777" w:rsidR="0092438C" w:rsidRDefault="0092438C" w:rsidP="0092438C"/>
    <w:p w14:paraId="4E21A3BE" w14:textId="6944E291" w:rsidR="0092438C" w:rsidRPr="00F6022C" w:rsidRDefault="0092438C" w:rsidP="0092438C">
      <w:r w:rsidRPr="00F6022C">
        <w:t xml:space="preserve">A </w:t>
      </w:r>
      <w:r w:rsidR="00034273">
        <w:rPr>
          <w:b/>
          <w:bCs/>
        </w:rPr>
        <w:t xml:space="preserve">stacked </w:t>
      </w:r>
      <w:r w:rsidRPr="00F6022C">
        <w:rPr>
          <w:b/>
          <w:bCs/>
        </w:rPr>
        <w:t>chart</w:t>
      </w:r>
      <w:r w:rsidR="00034273">
        <w:rPr>
          <w:b/>
          <w:bCs/>
        </w:rPr>
        <w:t xml:space="preserve"> and </w:t>
      </w:r>
      <w:r w:rsidR="00034273" w:rsidRPr="00F6022C">
        <w:rPr>
          <w:b/>
          <w:bCs/>
        </w:rPr>
        <w:t>bar</w:t>
      </w:r>
      <w:r w:rsidR="00034273">
        <w:rPr>
          <w:b/>
          <w:bCs/>
        </w:rPr>
        <w:t xml:space="preserve"> chart</w:t>
      </w:r>
      <w:r w:rsidRPr="00F6022C">
        <w:t xml:space="preserve"> was created to examine trading volumes for both companies. Peaks in the volume often correspond to key market events such as </w:t>
      </w:r>
      <w:r w:rsidRPr="00F6022C">
        <w:rPr>
          <w:b/>
          <w:bCs/>
        </w:rPr>
        <w:t>earnings announcements, product launches, or macroeconomic shifts</w:t>
      </w:r>
      <w:r w:rsidRPr="00F6022C">
        <w:t>. This analysis helps identify investor sentiment and market trends.</w:t>
      </w:r>
    </w:p>
    <w:p w14:paraId="6081E3A9" w14:textId="77777777" w:rsidR="007459BE" w:rsidRDefault="007459BE" w:rsidP="00FC1AF4">
      <w:pPr>
        <w:rPr>
          <w:rFonts w:ascii="Times New Roman" w:hAnsi="Times New Roman" w:cs="Times New Roman"/>
          <w:b/>
          <w:bCs/>
        </w:rPr>
      </w:pPr>
    </w:p>
    <w:p w14:paraId="2CDDA4D2" w14:textId="77777777" w:rsidR="007459BE" w:rsidRDefault="007459BE" w:rsidP="00FC1AF4">
      <w:pPr>
        <w:rPr>
          <w:rFonts w:ascii="Times New Roman" w:hAnsi="Times New Roman" w:cs="Times New Roman"/>
          <w:b/>
          <w:bCs/>
        </w:rPr>
      </w:pPr>
    </w:p>
    <w:p w14:paraId="168D97EA" w14:textId="4ED2EF9A" w:rsidR="00FC1AF4" w:rsidRDefault="00FC1AF4" w:rsidP="00FC1AF4">
      <w:pPr>
        <w:rPr>
          <w:rFonts w:ascii="Times New Roman" w:hAnsi="Times New Roman" w:cs="Times New Roman"/>
          <w:b/>
          <w:bCs/>
        </w:rPr>
      </w:pPr>
      <w:r w:rsidRPr="00FC1AF4">
        <w:rPr>
          <w:rFonts w:ascii="Times New Roman" w:hAnsi="Times New Roman" w:cs="Times New Roman"/>
          <w:b/>
          <w:bCs/>
        </w:rPr>
        <w:lastRenderedPageBreak/>
        <w:t>4.4 Moving Average Trend</w:t>
      </w:r>
    </w:p>
    <w:p w14:paraId="411343EA" w14:textId="77777777" w:rsidR="00704DA7" w:rsidRDefault="00704DA7" w:rsidP="00FC1AF4">
      <w:pPr>
        <w:rPr>
          <w:rFonts w:ascii="Times New Roman" w:hAnsi="Times New Roman" w:cs="Times New Roman"/>
          <w:b/>
          <w:bCs/>
        </w:rPr>
      </w:pPr>
    </w:p>
    <w:p w14:paraId="377F2EED" w14:textId="79B1209C" w:rsidR="00704DA7" w:rsidRDefault="00704DA7" w:rsidP="00704DA7">
      <w:pPr>
        <w:jc w:val="center"/>
        <w:rPr>
          <w:rFonts w:ascii="Times New Roman" w:hAnsi="Times New Roman" w:cs="Times New Roman"/>
          <w:b/>
          <w:bCs/>
        </w:rPr>
      </w:pPr>
      <w:r w:rsidRPr="00FC1AF4">
        <w:rPr>
          <w:rFonts w:ascii="Times New Roman" w:hAnsi="Times New Roman" w:cs="Times New Roman"/>
          <w:b/>
          <w:bCs/>
        </w:rPr>
        <w:t>PepsiCo</w:t>
      </w:r>
      <w:r>
        <w:rPr>
          <w:noProof/>
        </w:rPr>
        <w:drawing>
          <wp:anchor distT="0" distB="0" distL="114300" distR="114300" simplePos="0" relativeHeight="251664384" behindDoc="1" locked="0" layoutInCell="1" allowOverlap="1" wp14:anchorId="1D92EE5C" wp14:editId="40F3250E">
            <wp:simplePos x="0" y="0"/>
            <wp:positionH relativeFrom="margin">
              <wp:align>left</wp:align>
            </wp:positionH>
            <wp:positionV relativeFrom="paragraph">
              <wp:posOffset>305435</wp:posOffset>
            </wp:positionV>
            <wp:extent cx="5803900" cy="2628900"/>
            <wp:effectExtent l="0" t="0" r="6350" b="0"/>
            <wp:wrapTight wrapText="bothSides">
              <wp:wrapPolygon edited="0">
                <wp:start x="0" y="0"/>
                <wp:lineTo x="0" y="21443"/>
                <wp:lineTo x="21553" y="21443"/>
                <wp:lineTo x="21553" y="0"/>
                <wp:lineTo x="0" y="0"/>
              </wp:wrapPolygon>
            </wp:wrapTight>
            <wp:docPr id="919078359" name="Chart 1">
              <a:extLst xmlns:a="http://schemas.openxmlformats.org/drawingml/2006/main">
                <a:ext uri="{FF2B5EF4-FFF2-40B4-BE49-F238E27FC236}">
                  <a16:creationId xmlns:a16="http://schemas.microsoft.com/office/drawing/2014/main" id="{989907CB-2C91-1E74-A305-A82F05E474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37A88A47" w14:textId="77777777" w:rsidR="00704DA7" w:rsidRDefault="00704DA7" w:rsidP="00FC1AF4">
      <w:pPr>
        <w:rPr>
          <w:rFonts w:ascii="Times New Roman" w:hAnsi="Times New Roman" w:cs="Times New Roman"/>
          <w:b/>
          <w:bCs/>
        </w:rPr>
      </w:pPr>
    </w:p>
    <w:p w14:paraId="25F37777" w14:textId="1B3CF26A" w:rsidR="00704DA7" w:rsidRDefault="00704DA7" w:rsidP="00704DA7">
      <w:pPr>
        <w:jc w:val="center"/>
        <w:rPr>
          <w:rFonts w:ascii="Times New Roman" w:hAnsi="Times New Roman" w:cs="Times New Roman"/>
          <w:b/>
          <w:bCs/>
        </w:rPr>
      </w:pPr>
      <w:r w:rsidRPr="00FC1AF4">
        <w:rPr>
          <w:rFonts w:ascii="Times New Roman" w:hAnsi="Times New Roman" w:cs="Times New Roman"/>
          <w:b/>
          <w:bCs/>
        </w:rPr>
        <w:t>Coca-Cola</w:t>
      </w:r>
    </w:p>
    <w:p w14:paraId="52E2B7DF" w14:textId="118F4BA1" w:rsidR="00704DA7" w:rsidRDefault="00704DA7" w:rsidP="00FC1AF4">
      <w:pPr>
        <w:rPr>
          <w:rFonts w:ascii="Times New Roman" w:hAnsi="Times New Roman" w:cs="Times New Roman"/>
          <w:b/>
          <w:bCs/>
        </w:rPr>
      </w:pPr>
      <w:r>
        <w:rPr>
          <w:noProof/>
        </w:rPr>
        <w:drawing>
          <wp:inline distT="0" distB="0" distL="0" distR="0" wp14:anchorId="41550900" wp14:editId="1EF2776E">
            <wp:extent cx="5731510" cy="2772410"/>
            <wp:effectExtent l="0" t="0" r="2540" b="8890"/>
            <wp:docPr id="1978495794" name="Chart 1">
              <a:extLst xmlns:a="http://schemas.openxmlformats.org/drawingml/2006/main">
                <a:ext uri="{FF2B5EF4-FFF2-40B4-BE49-F238E27FC236}">
                  <a16:creationId xmlns:a16="http://schemas.microsoft.com/office/drawing/2014/main" id="{E8CB5DED-8E08-424B-5453-8DECE9148D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A0B2614" w14:textId="298F1806" w:rsidR="00990044" w:rsidRPr="00F6022C" w:rsidRDefault="00990044" w:rsidP="00990044">
      <w:r w:rsidRPr="00F6022C">
        <w:t xml:space="preserve">A </w:t>
      </w:r>
      <w:r w:rsidRPr="00F6022C">
        <w:rPr>
          <w:b/>
          <w:bCs/>
        </w:rPr>
        <w:t>moving average chart</w:t>
      </w:r>
      <w:r w:rsidRPr="00F6022C">
        <w:t xml:space="preserve"> was generated to smooth out short-term price fluctuations and highlight long-term stock trends. The </w:t>
      </w:r>
      <w:r w:rsidRPr="00F6022C">
        <w:rPr>
          <w:b/>
          <w:bCs/>
        </w:rPr>
        <w:t>moving averages</w:t>
      </w:r>
      <w:r w:rsidRPr="00F6022C">
        <w:t xml:space="preserve"> provide insight into buy and sell signals, helping investors make strategic decisions.</w:t>
      </w:r>
    </w:p>
    <w:p w14:paraId="40939B14" w14:textId="77777777" w:rsidR="00704DA7" w:rsidRDefault="00704DA7" w:rsidP="00FC1AF4">
      <w:pPr>
        <w:rPr>
          <w:rFonts w:ascii="Times New Roman" w:hAnsi="Times New Roman" w:cs="Times New Roman"/>
          <w:b/>
          <w:bCs/>
        </w:rPr>
      </w:pPr>
    </w:p>
    <w:p w14:paraId="5A296CD7" w14:textId="77777777" w:rsidR="008E1AB0" w:rsidRDefault="008E1AB0" w:rsidP="00FC1AF4">
      <w:pPr>
        <w:rPr>
          <w:rFonts w:ascii="Times New Roman" w:hAnsi="Times New Roman" w:cs="Times New Roman"/>
          <w:b/>
          <w:bCs/>
        </w:rPr>
      </w:pPr>
    </w:p>
    <w:p w14:paraId="1DC8550E" w14:textId="77777777" w:rsidR="008E1AB0" w:rsidRDefault="008E1AB0" w:rsidP="00FC1AF4">
      <w:pPr>
        <w:rPr>
          <w:rFonts w:ascii="Times New Roman" w:hAnsi="Times New Roman" w:cs="Times New Roman"/>
          <w:b/>
          <w:bCs/>
          <w:sz w:val="28"/>
          <w:szCs w:val="28"/>
        </w:rPr>
      </w:pPr>
    </w:p>
    <w:p w14:paraId="04EE824D" w14:textId="707084AB" w:rsidR="00562DDB" w:rsidRPr="00352F75" w:rsidRDefault="008D33DA" w:rsidP="00562DDB">
      <w:pPr>
        <w:rPr>
          <w:rFonts w:ascii="Times New Roman" w:hAnsi="Times New Roman" w:cs="Times New Roman"/>
          <w:b/>
          <w:bCs/>
          <w:sz w:val="28"/>
          <w:szCs w:val="28"/>
        </w:rPr>
      </w:pPr>
      <w:r>
        <w:rPr>
          <w:rFonts w:ascii="Times New Roman" w:hAnsi="Times New Roman" w:cs="Times New Roman"/>
          <w:b/>
          <w:bCs/>
          <w:sz w:val="28"/>
          <w:szCs w:val="28"/>
        </w:rPr>
        <w:lastRenderedPageBreak/>
        <w:t>5</w:t>
      </w:r>
      <w:r w:rsidR="00FC1AF4" w:rsidRPr="00FC1AF4">
        <w:rPr>
          <w:rFonts w:ascii="Times New Roman" w:hAnsi="Times New Roman" w:cs="Times New Roman"/>
          <w:b/>
          <w:bCs/>
          <w:sz w:val="28"/>
          <w:szCs w:val="28"/>
        </w:rPr>
        <w:t>. Conclusion</w:t>
      </w:r>
    </w:p>
    <w:p w14:paraId="4D097965" w14:textId="77777777"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1. PepsiCo: Stability and Consistent Growth</w:t>
      </w:r>
    </w:p>
    <w:p w14:paraId="6066FE53" w14:textId="77777777"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Key Observations:</w:t>
      </w:r>
    </w:p>
    <w:p w14:paraId="6A378E31" w14:textId="77777777" w:rsidR="00562DDB" w:rsidRPr="00562DDB" w:rsidRDefault="00562DDB" w:rsidP="00562DDB">
      <w:pPr>
        <w:numPr>
          <w:ilvl w:val="0"/>
          <w:numId w:val="24"/>
        </w:numPr>
        <w:rPr>
          <w:rFonts w:ascii="Times New Roman" w:hAnsi="Times New Roman" w:cs="Times New Roman"/>
        </w:rPr>
      </w:pPr>
      <w:r w:rsidRPr="00562DDB">
        <w:rPr>
          <w:rFonts w:ascii="Times New Roman" w:hAnsi="Times New Roman" w:cs="Times New Roman"/>
          <w:u w:val="single"/>
        </w:rPr>
        <w:t>Stock Price Trend:</w:t>
      </w:r>
      <w:r w:rsidRPr="00562DDB">
        <w:rPr>
          <w:rFonts w:ascii="Times New Roman" w:hAnsi="Times New Roman" w:cs="Times New Roman"/>
        </w:rPr>
        <w:t xml:space="preserve"> PepsiCo's stock prices demonstrate steady growth over the observed period, with minimal fluctuations. This indicates that the company has a strong market position and a consistent revenue stream.</w:t>
      </w:r>
    </w:p>
    <w:p w14:paraId="7056D80C" w14:textId="77777777" w:rsidR="00562DDB" w:rsidRPr="00562DDB" w:rsidRDefault="00562DDB" w:rsidP="00562DDB">
      <w:pPr>
        <w:numPr>
          <w:ilvl w:val="0"/>
          <w:numId w:val="24"/>
        </w:numPr>
        <w:rPr>
          <w:rFonts w:ascii="Times New Roman" w:hAnsi="Times New Roman" w:cs="Times New Roman"/>
        </w:rPr>
      </w:pPr>
      <w:r w:rsidRPr="00562DDB">
        <w:rPr>
          <w:rFonts w:ascii="Times New Roman" w:hAnsi="Times New Roman" w:cs="Times New Roman"/>
          <w:u w:val="single"/>
        </w:rPr>
        <w:t xml:space="preserve">High vs. Low Price Analysis: </w:t>
      </w:r>
      <w:r w:rsidRPr="00562DDB">
        <w:rPr>
          <w:rFonts w:ascii="Times New Roman" w:hAnsi="Times New Roman" w:cs="Times New Roman"/>
        </w:rPr>
        <w:t>The narrow gap between daily high and low prices reflects a lower risk profile, making PepsiCo a safe investment for conservative investors.</w:t>
      </w:r>
    </w:p>
    <w:p w14:paraId="4EAB33ED" w14:textId="77777777" w:rsidR="00562DDB" w:rsidRPr="00562DDB" w:rsidRDefault="00562DDB" w:rsidP="00562DDB">
      <w:pPr>
        <w:numPr>
          <w:ilvl w:val="0"/>
          <w:numId w:val="24"/>
        </w:numPr>
        <w:rPr>
          <w:rFonts w:ascii="Times New Roman" w:hAnsi="Times New Roman" w:cs="Times New Roman"/>
        </w:rPr>
      </w:pPr>
      <w:r w:rsidRPr="00562DDB">
        <w:rPr>
          <w:rFonts w:ascii="Times New Roman" w:hAnsi="Times New Roman" w:cs="Times New Roman"/>
          <w:u w:val="single"/>
        </w:rPr>
        <w:t>Volume Analysis:</w:t>
      </w:r>
      <w:r w:rsidRPr="00562DDB">
        <w:rPr>
          <w:rFonts w:ascii="Times New Roman" w:hAnsi="Times New Roman" w:cs="Times New Roman"/>
        </w:rPr>
        <w:t xml:space="preserve"> PepsiCo's moderate trading volume suggests consistent investor interest without drastic market reactions. This reflects the company’s reliable market perception.</w:t>
      </w:r>
    </w:p>
    <w:p w14:paraId="18F3F6C6" w14:textId="1AD45E92" w:rsidR="00562DDB" w:rsidRPr="00562DDB" w:rsidRDefault="00562DDB" w:rsidP="00562DDB">
      <w:pPr>
        <w:numPr>
          <w:ilvl w:val="0"/>
          <w:numId w:val="24"/>
        </w:numPr>
        <w:rPr>
          <w:rFonts w:ascii="Times New Roman" w:hAnsi="Times New Roman" w:cs="Times New Roman"/>
        </w:rPr>
      </w:pPr>
      <w:r w:rsidRPr="00562DDB">
        <w:rPr>
          <w:rFonts w:ascii="Times New Roman" w:hAnsi="Times New Roman" w:cs="Times New Roman"/>
          <w:u w:val="single"/>
        </w:rPr>
        <w:t>Moving Average Trend:</w:t>
      </w:r>
      <w:r w:rsidRPr="00562DDB">
        <w:rPr>
          <w:rFonts w:ascii="Times New Roman" w:hAnsi="Times New Roman" w:cs="Times New Roman"/>
        </w:rPr>
        <w:t xml:space="preserve"> The moving averages closely follow each other, confirming stable long-term growth and reinforcing the low-risk nature of PepsiCo’s investment profile.</w:t>
      </w:r>
    </w:p>
    <w:p w14:paraId="6D7971ED" w14:textId="77777777" w:rsidR="00562DDB" w:rsidRPr="00562DDB" w:rsidRDefault="00000000" w:rsidP="00562DDB">
      <w:pPr>
        <w:rPr>
          <w:rFonts w:ascii="Times New Roman" w:hAnsi="Times New Roman" w:cs="Times New Roman"/>
        </w:rPr>
      </w:pPr>
      <w:r>
        <w:rPr>
          <w:rFonts w:ascii="Times New Roman" w:hAnsi="Times New Roman" w:cs="Times New Roman"/>
        </w:rPr>
        <w:pict w14:anchorId="721013B2">
          <v:rect id="_x0000_i1032" style="width:0;height:1.5pt" o:hralign="center" o:hrstd="t" o:hr="t" fillcolor="#a0a0a0" stroked="f"/>
        </w:pict>
      </w:r>
    </w:p>
    <w:p w14:paraId="671480BD" w14:textId="77777777"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2. Coca-Cola: Volatility and Growth Potential</w:t>
      </w:r>
    </w:p>
    <w:p w14:paraId="2AEFD13D" w14:textId="5D49B71D"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Key Observations:</w:t>
      </w:r>
    </w:p>
    <w:p w14:paraId="4D3AD113" w14:textId="77777777" w:rsidR="00562DDB" w:rsidRPr="00562DDB" w:rsidRDefault="00562DDB" w:rsidP="00562DDB">
      <w:pPr>
        <w:numPr>
          <w:ilvl w:val="0"/>
          <w:numId w:val="26"/>
        </w:numPr>
        <w:rPr>
          <w:rFonts w:ascii="Times New Roman" w:hAnsi="Times New Roman" w:cs="Times New Roman"/>
        </w:rPr>
      </w:pPr>
      <w:r w:rsidRPr="00562DDB">
        <w:rPr>
          <w:rFonts w:ascii="Times New Roman" w:hAnsi="Times New Roman" w:cs="Times New Roman"/>
          <w:u w:val="single"/>
        </w:rPr>
        <w:t>Stock Price Trend:</w:t>
      </w:r>
      <w:r w:rsidRPr="00562DDB">
        <w:rPr>
          <w:rFonts w:ascii="Times New Roman" w:hAnsi="Times New Roman" w:cs="Times New Roman"/>
        </w:rPr>
        <w:t xml:space="preserve"> Coca-Cola's stock shows frequent price swings, reflecting dynamic market activity and higher volatility.</w:t>
      </w:r>
    </w:p>
    <w:p w14:paraId="64739D6B" w14:textId="77777777" w:rsidR="00562DDB" w:rsidRPr="00562DDB" w:rsidRDefault="00562DDB" w:rsidP="00562DDB">
      <w:pPr>
        <w:numPr>
          <w:ilvl w:val="0"/>
          <w:numId w:val="26"/>
        </w:numPr>
        <w:rPr>
          <w:rFonts w:ascii="Times New Roman" w:hAnsi="Times New Roman" w:cs="Times New Roman"/>
        </w:rPr>
      </w:pPr>
      <w:r w:rsidRPr="00562DDB">
        <w:rPr>
          <w:rFonts w:ascii="Times New Roman" w:hAnsi="Times New Roman" w:cs="Times New Roman"/>
          <w:u w:val="single"/>
        </w:rPr>
        <w:t xml:space="preserve">High vs. Low Price Analysis: </w:t>
      </w:r>
      <w:r w:rsidRPr="00562DDB">
        <w:rPr>
          <w:rFonts w:ascii="Times New Roman" w:hAnsi="Times New Roman" w:cs="Times New Roman"/>
        </w:rPr>
        <w:t>The wider gap between daily high and low prices suggests a riskier investment but also implies opportunities for quick gains.</w:t>
      </w:r>
    </w:p>
    <w:p w14:paraId="426AF1B4" w14:textId="77777777" w:rsidR="00562DDB" w:rsidRPr="00562DDB" w:rsidRDefault="00562DDB" w:rsidP="00562DDB">
      <w:pPr>
        <w:numPr>
          <w:ilvl w:val="0"/>
          <w:numId w:val="26"/>
        </w:numPr>
        <w:rPr>
          <w:rFonts w:ascii="Times New Roman" w:hAnsi="Times New Roman" w:cs="Times New Roman"/>
        </w:rPr>
      </w:pPr>
      <w:r w:rsidRPr="00562DDB">
        <w:rPr>
          <w:rFonts w:ascii="Times New Roman" w:hAnsi="Times New Roman" w:cs="Times New Roman"/>
          <w:u w:val="single"/>
        </w:rPr>
        <w:t>Volume Analysis:</w:t>
      </w:r>
      <w:r w:rsidRPr="00562DDB">
        <w:rPr>
          <w:rFonts w:ascii="Times New Roman" w:hAnsi="Times New Roman" w:cs="Times New Roman"/>
        </w:rPr>
        <w:t xml:space="preserve"> Higher trading volumes point to active investor participation, which could result in price surges driven by market sentiment.</w:t>
      </w:r>
    </w:p>
    <w:p w14:paraId="1BC76C72" w14:textId="6A625A6E" w:rsidR="00562DDB" w:rsidRPr="00562DDB" w:rsidRDefault="00562DDB" w:rsidP="00562DDB">
      <w:pPr>
        <w:numPr>
          <w:ilvl w:val="0"/>
          <w:numId w:val="26"/>
        </w:numPr>
        <w:rPr>
          <w:rFonts w:ascii="Times New Roman" w:hAnsi="Times New Roman" w:cs="Times New Roman"/>
        </w:rPr>
      </w:pPr>
      <w:r w:rsidRPr="00562DDB">
        <w:rPr>
          <w:rFonts w:ascii="Times New Roman" w:hAnsi="Times New Roman" w:cs="Times New Roman"/>
          <w:u w:val="single"/>
        </w:rPr>
        <w:t>Moving Average Trend:</w:t>
      </w:r>
      <w:r w:rsidRPr="00562DDB">
        <w:rPr>
          <w:rFonts w:ascii="Times New Roman" w:hAnsi="Times New Roman" w:cs="Times New Roman"/>
        </w:rPr>
        <w:t xml:space="preserve"> The moving averages show larger fluctuations, </w:t>
      </w:r>
      <w:r w:rsidR="008E1AB0" w:rsidRPr="00562DDB">
        <w:rPr>
          <w:rFonts w:ascii="Times New Roman" w:hAnsi="Times New Roman" w:cs="Times New Roman"/>
        </w:rPr>
        <w:t>signalling</w:t>
      </w:r>
      <w:r w:rsidRPr="00562DDB">
        <w:rPr>
          <w:rFonts w:ascii="Times New Roman" w:hAnsi="Times New Roman" w:cs="Times New Roman"/>
        </w:rPr>
        <w:t xml:space="preserve"> short-term volatility but also potential high returns for speculative investors.</w:t>
      </w:r>
    </w:p>
    <w:p w14:paraId="7BD204D6" w14:textId="77777777" w:rsidR="00562DDB" w:rsidRPr="00562DDB" w:rsidRDefault="00000000" w:rsidP="00562DDB">
      <w:pPr>
        <w:rPr>
          <w:rFonts w:ascii="Times New Roman" w:hAnsi="Times New Roman" w:cs="Times New Roman"/>
        </w:rPr>
      </w:pPr>
      <w:r>
        <w:rPr>
          <w:rFonts w:ascii="Times New Roman" w:hAnsi="Times New Roman" w:cs="Times New Roman"/>
        </w:rPr>
        <w:pict w14:anchorId="6DD07AB0">
          <v:rect id="_x0000_i1033" style="width:0;height:1.5pt" o:hralign="center" o:hrstd="t" o:hr="t" fillcolor="#a0a0a0" stroked="f"/>
        </w:pict>
      </w:r>
    </w:p>
    <w:p w14:paraId="4310838C" w14:textId="4BE1D7D4"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3. Comparative Analysis and Correlation</w:t>
      </w:r>
    </w:p>
    <w:p w14:paraId="11750541" w14:textId="77777777"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Interrelationship of Trends:</w:t>
      </w:r>
    </w:p>
    <w:p w14:paraId="51574CE1" w14:textId="77777777" w:rsidR="00562DDB" w:rsidRPr="00562DDB" w:rsidRDefault="00562DDB" w:rsidP="00562DDB">
      <w:pPr>
        <w:numPr>
          <w:ilvl w:val="0"/>
          <w:numId w:val="28"/>
        </w:numPr>
        <w:rPr>
          <w:rFonts w:ascii="Times New Roman" w:hAnsi="Times New Roman" w:cs="Times New Roman"/>
        </w:rPr>
      </w:pPr>
      <w:r w:rsidRPr="00562DDB">
        <w:rPr>
          <w:rFonts w:ascii="Times New Roman" w:hAnsi="Times New Roman" w:cs="Times New Roman"/>
        </w:rPr>
        <w:t>PepsiCo’s low volatility contrasts with Coca-Cola’s dynamic swings, offering diverse investment opportunities based on risk tolerance.</w:t>
      </w:r>
    </w:p>
    <w:p w14:paraId="1D2D2B68" w14:textId="77777777" w:rsidR="00562DDB" w:rsidRPr="00562DDB" w:rsidRDefault="00562DDB" w:rsidP="00562DDB">
      <w:pPr>
        <w:numPr>
          <w:ilvl w:val="0"/>
          <w:numId w:val="28"/>
        </w:numPr>
        <w:rPr>
          <w:rFonts w:ascii="Times New Roman" w:hAnsi="Times New Roman" w:cs="Times New Roman"/>
        </w:rPr>
      </w:pPr>
      <w:r w:rsidRPr="00562DDB">
        <w:rPr>
          <w:rFonts w:ascii="Times New Roman" w:hAnsi="Times New Roman" w:cs="Times New Roman"/>
        </w:rPr>
        <w:t>Both firms react similarly to global market events, indicating that external factors like inflation, supply chain disruptions, and consumer preferences impact both companies simultaneously.</w:t>
      </w:r>
    </w:p>
    <w:p w14:paraId="68E6FC30" w14:textId="77777777" w:rsidR="00562DDB" w:rsidRPr="00562DDB" w:rsidRDefault="00562DDB" w:rsidP="00562DDB">
      <w:pPr>
        <w:numPr>
          <w:ilvl w:val="0"/>
          <w:numId w:val="28"/>
        </w:numPr>
        <w:rPr>
          <w:rFonts w:ascii="Times New Roman" w:hAnsi="Times New Roman" w:cs="Times New Roman"/>
        </w:rPr>
      </w:pPr>
      <w:r w:rsidRPr="00562DDB">
        <w:rPr>
          <w:rFonts w:ascii="Times New Roman" w:hAnsi="Times New Roman" w:cs="Times New Roman"/>
        </w:rPr>
        <w:lastRenderedPageBreak/>
        <w:t>Coca-Cola’s higher volatility suggests it may benefit more from short-term market movements, while PepsiCo’s stability makes it ideal for long-term wealth accumulation.</w:t>
      </w:r>
    </w:p>
    <w:p w14:paraId="00659B40" w14:textId="77777777" w:rsidR="00562DDB" w:rsidRPr="00562DDB" w:rsidRDefault="00000000" w:rsidP="00562DDB">
      <w:pPr>
        <w:rPr>
          <w:rFonts w:ascii="Times New Roman" w:hAnsi="Times New Roman" w:cs="Times New Roman"/>
        </w:rPr>
      </w:pPr>
      <w:r>
        <w:rPr>
          <w:rFonts w:ascii="Times New Roman" w:hAnsi="Times New Roman" w:cs="Times New Roman"/>
        </w:rPr>
        <w:pict w14:anchorId="71FFA8D9">
          <v:rect id="_x0000_i1034" style="width:0;height:1.5pt" o:hralign="center" o:hrstd="t" o:hr="t" fillcolor="#a0a0a0" stroked="f"/>
        </w:pict>
      </w:r>
    </w:p>
    <w:p w14:paraId="5501A99C" w14:textId="77777777"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4. Investment Considerations</w:t>
      </w:r>
    </w:p>
    <w:p w14:paraId="3BD4AAD4" w14:textId="77777777" w:rsidR="00562DDB" w:rsidRPr="00562DDB" w:rsidRDefault="00562DDB" w:rsidP="00562DDB">
      <w:pPr>
        <w:rPr>
          <w:rFonts w:ascii="Times New Roman" w:hAnsi="Times New Roman" w:cs="Times New Roman"/>
        </w:rPr>
      </w:pPr>
      <w:r w:rsidRPr="00562DDB">
        <w:rPr>
          <w:rFonts w:ascii="Times New Roman" w:hAnsi="Times New Roman" w:cs="Times New Roman"/>
        </w:rPr>
        <w:t>When evaluating both companies as investment options, the following key points should be considered:</w:t>
      </w:r>
    </w:p>
    <w:p w14:paraId="68AA511E" w14:textId="27A9A8DA"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PepsiCo – Strengths:</w:t>
      </w:r>
    </w:p>
    <w:p w14:paraId="68F6DE63" w14:textId="77777777" w:rsidR="00562DDB" w:rsidRPr="00562DDB" w:rsidRDefault="00562DDB" w:rsidP="00562DDB">
      <w:pPr>
        <w:numPr>
          <w:ilvl w:val="0"/>
          <w:numId w:val="29"/>
        </w:numPr>
        <w:rPr>
          <w:rFonts w:ascii="Times New Roman" w:hAnsi="Times New Roman" w:cs="Times New Roman"/>
        </w:rPr>
      </w:pPr>
      <w:r w:rsidRPr="00562DDB">
        <w:rPr>
          <w:rFonts w:ascii="Times New Roman" w:hAnsi="Times New Roman" w:cs="Times New Roman"/>
        </w:rPr>
        <w:t>Stable and predictable returns</w:t>
      </w:r>
    </w:p>
    <w:p w14:paraId="61BE6AC8" w14:textId="77777777" w:rsidR="00562DDB" w:rsidRPr="00562DDB" w:rsidRDefault="00562DDB" w:rsidP="00562DDB">
      <w:pPr>
        <w:numPr>
          <w:ilvl w:val="0"/>
          <w:numId w:val="29"/>
        </w:numPr>
        <w:rPr>
          <w:rFonts w:ascii="Times New Roman" w:hAnsi="Times New Roman" w:cs="Times New Roman"/>
        </w:rPr>
      </w:pPr>
      <w:r w:rsidRPr="00562DDB">
        <w:rPr>
          <w:rFonts w:ascii="Times New Roman" w:hAnsi="Times New Roman" w:cs="Times New Roman"/>
        </w:rPr>
        <w:t>Lower risk and financial resilience</w:t>
      </w:r>
    </w:p>
    <w:p w14:paraId="352BC089" w14:textId="4135A560" w:rsidR="008E1AB0" w:rsidRPr="00352F75" w:rsidRDefault="00562DDB" w:rsidP="00562DDB">
      <w:pPr>
        <w:numPr>
          <w:ilvl w:val="0"/>
          <w:numId w:val="29"/>
        </w:numPr>
        <w:rPr>
          <w:rFonts w:ascii="Times New Roman" w:hAnsi="Times New Roman" w:cs="Times New Roman"/>
        </w:rPr>
      </w:pPr>
      <w:r w:rsidRPr="00562DDB">
        <w:rPr>
          <w:rFonts w:ascii="Times New Roman" w:hAnsi="Times New Roman" w:cs="Times New Roman"/>
        </w:rPr>
        <w:t>Strong liquidity and solid cash flow</w:t>
      </w:r>
    </w:p>
    <w:p w14:paraId="4154D300" w14:textId="34B8EB68"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PepsiCo – Weaknesses:</w:t>
      </w:r>
    </w:p>
    <w:p w14:paraId="6E2F9165" w14:textId="77777777" w:rsidR="00562DDB" w:rsidRPr="00562DDB" w:rsidRDefault="00562DDB" w:rsidP="00562DDB">
      <w:pPr>
        <w:numPr>
          <w:ilvl w:val="0"/>
          <w:numId w:val="30"/>
        </w:numPr>
        <w:rPr>
          <w:rFonts w:ascii="Times New Roman" w:hAnsi="Times New Roman" w:cs="Times New Roman"/>
        </w:rPr>
      </w:pPr>
      <w:r w:rsidRPr="00562DDB">
        <w:rPr>
          <w:rFonts w:ascii="Times New Roman" w:hAnsi="Times New Roman" w:cs="Times New Roman"/>
        </w:rPr>
        <w:t>Limited short-term growth potential due to conservative market engagement</w:t>
      </w:r>
    </w:p>
    <w:p w14:paraId="31E9CD33" w14:textId="77777777" w:rsidR="00562DDB" w:rsidRPr="00562DDB" w:rsidRDefault="00562DDB" w:rsidP="00562DDB">
      <w:pPr>
        <w:numPr>
          <w:ilvl w:val="0"/>
          <w:numId w:val="30"/>
        </w:numPr>
        <w:rPr>
          <w:rFonts w:ascii="Times New Roman" w:hAnsi="Times New Roman" w:cs="Times New Roman"/>
        </w:rPr>
      </w:pPr>
      <w:r w:rsidRPr="00562DDB">
        <w:rPr>
          <w:rFonts w:ascii="Times New Roman" w:hAnsi="Times New Roman" w:cs="Times New Roman"/>
        </w:rPr>
        <w:t>Lower volatility means fewer speculative opportunities</w:t>
      </w:r>
    </w:p>
    <w:p w14:paraId="7171DA97" w14:textId="27FC8DA5"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Coca-Cola – Strengths:</w:t>
      </w:r>
    </w:p>
    <w:p w14:paraId="37DBD47B" w14:textId="77777777" w:rsidR="00562DDB" w:rsidRPr="00562DDB" w:rsidRDefault="00562DDB" w:rsidP="00562DDB">
      <w:pPr>
        <w:numPr>
          <w:ilvl w:val="0"/>
          <w:numId w:val="31"/>
        </w:numPr>
        <w:rPr>
          <w:rFonts w:ascii="Times New Roman" w:hAnsi="Times New Roman" w:cs="Times New Roman"/>
        </w:rPr>
      </w:pPr>
      <w:r w:rsidRPr="00562DDB">
        <w:rPr>
          <w:rFonts w:ascii="Times New Roman" w:hAnsi="Times New Roman" w:cs="Times New Roman"/>
        </w:rPr>
        <w:t>Higher growth potential through dynamic price movements</w:t>
      </w:r>
    </w:p>
    <w:p w14:paraId="077355D1" w14:textId="77777777" w:rsidR="00562DDB" w:rsidRPr="00562DDB" w:rsidRDefault="00562DDB" w:rsidP="00562DDB">
      <w:pPr>
        <w:numPr>
          <w:ilvl w:val="0"/>
          <w:numId w:val="31"/>
        </w:numPr>
        <w:rPr>
          <w:rFonts w:ascii="Times New Roman" w:hAnsi="Times New Roman" w:cs="Times New Roman"/>
        </w:rPr>
      </w:pPr>
      <w:r w:rsidRPr="00562DDB">
        <w:rPr>
          <w:rFonts w:ascii="Times New Roman" w:hAnsi="Times New Roman" w:cs="Times New Roman"/>
        </w:rPr>
        <w:t>Strong brand loyalty and market dominance</w:t>
      </w:r>
    </w:p>
    <w:p w14:paraId="6EAFF250" w14:textId="77777777" w:rsidR="00562DDB" w:rsidRPr="00562DDB" w:rsidRDefault="00562DDB" w:rsidP="00562DDB">
      <w:pPr>
        <w:numPr>
          <w:ilvl w:val="0"/>
          <w:numId w:val="31"/>
        </w:numPr>
        <w:rPr>
          <w:rFonts w:ascii="Times New Roman" w:hAnsi="Times New Roman" w:cs="Times New Roman"/>
        </w:rPr>
      </w:pPr>
      <w:r w:rsidRPr="00562DDB">
        <w:rPr>
          <w:rFonts w:ascii="Times New Roman" w:hAnsi="Times New Roman" w:cs="Times New Roman"/>
        </w:rPr>
        <w:t>Opportunities for quick returns in volatile market conditions</w:t>
      </w:r>
    </w:p>
    <w:p w14:paraId="6EEFDA86" w14:textId="1ED2B3D5"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 xml:space="preserve"> Coca-Cola – Weaknesses:</w:t>
      </w:r>
    </w:p>
    <w:p w14:paraId="029F4370" w14:textId="77777777" w:rsidR="00562DDB" w:rsidRPr="00562DDB" w:rsidRDefault="00562DDB" w:rsidP="00562DDB">
      <w:pPr>
        <w:numPr>
          <w:ilvl w:val="0"/>
          <w:numId w:val="32"/>
        </w:numPr>
        <w:rPr>
          <w:rFonts w:ascii="Times New Roman" w:hAnsi="Times New Roman" w:cs="Times New Roman"/>
        </w:rPr>
      </w:pPr>
      <w:r w:rsidRPr="00562DDB">
        <w:rPr>
          <w:rFonts w:ascii="Times New Roman" w:hAnsi="Times New Roman" w:cs="Times New Roman"/>
        </w:rPr>
        <w:t>Increased risk due to greater market sensitivity</w:t>
      </w:r>
    </w:p>
    <w:p w14:paraId="32EAE3CC" w14:textId="77777777" w:rsidR="00562DDB" w:rsidRPr="00562DDB" w:rsidRDefault="00562DDB" w:rsidP="00562DDB">
      <w:pPr>
        <w:numPr>
          <w:ilvl w:val="0"/>
          <w:numId w:val="32"/>
        </w:numPr>
        <w:rPr>
          <w:rFonts w:ascii="Times New Roman" w:hAnsi="Times New Roman" w:cs="Times New Roman"/>
        </w:rPr>
      </w:pPr>
      <w:r w:rsidRPr="00562DDB">
        <w:rPr>
          <w:rFonts w:ascii="Times New Roman" w:hAnsi="Times New Roman" w:cs="Times New Roman"/>
        </w:rPr>
        <w:t>Higher debt levels increase long-term financial obligations</w:t>
      </w:r>
    </w:p>
    <w:p w14:paraId="7831E738" w14:textId="77777777" w:rsidR="00562DDB" w:rsidRPr="00562DDB" w:rsidRDefault="00000000" w:rsidP="00562DDB">
      <w:pPr>
        <w:rPr>
          <w:rFonts w:ascii="Times New Roman" w:hAnsi="Times New Roman" w:cs="Times New Roman"/>
        </w:rPr>
      </w:pPr>
      <w:r>
        <w:rPr>
          <w:rFonts w:ascii="Times New Roman" w:hAnsi="Times New Roman" w:cs="Times New Roman"/>
        </w:rPr>
        <w:pict w14:anchorId="77FD70DC">
          <v:rect id="_x0000_i1035" style="width:0;height:1.5pt" o:hralign="center" o:hrstd="t" o:hr="t" fillcolor="#a0a0a0" stroked="f"/>
        </w:pict>
      </w:r>
    </w:p>
    <w:p w14:paraId="2CFA30E2" w14:textId="77777777" w:rsidR="00562DDB" w:rsidRPr="00562DDB" w:rsidRDefault="00562DDB" w:rsidP="00562DDB">
      <w:pPr>
        <w:rPr>
          <w:rFonts w:ascii="Times New Roman" w:hAnsi="Times New Roman" w:cs="Times New Roman"/>
          <w:b/>
          <w:bCs/>
        </w:rPr>
      </w:pPr>
      <w:r w:rsidRPr="00562DDB">
        <w:rPr>
          <w:rFonts w:ascii="Times New Roman" w:hAnsi="Times New Roman" w:cs="Times New Roman"/>
          <w:b/>
          <w:bCs/>
        </w:rPr>
        <w:t>The analysis reveals distinct investment profiles for PepsiCo and Coca-Cola:</w:t>
      </w:r>
    </w:p>
    <w:p w14:paraId="15321A15" w14:textId="77777777" w:rsidR="00562DDB" w:rsidRPr="00562DDB" w:rsidRDefault="00562DDB" w:rsidP="00562DDB">
      <w:pPr>
        <w:numPr>
          <w:ilvl w:val="0"/>
          <w:numId w:val="33"/>
        </w:numPr>
        <w:rPr>
          <w:rFonts w:ascii="Times New Roman" w:hAnsi="Times New Roman" w:cs="Times New Roman"/>
        </w:rPr>
      </w:pPr>
      <w:r w:rsidRPr="00562DDB">
        <w:rPr>
          <w:rFonts w:ascii="Times New Roman" w:hAnsi="Times New Roman" w:cs="Times New Roman"/>
        </w:rPr>
        <w:t xml:space="preserve">PepsiCo is a </w:t>
      </w:r>
      <w:r w:rsidRPr="0043071E">
        <w:rPr>
          <w:rFonts w:ascii="Times New Roman" w:hAnsi="Times New Roman" w:cs="Times New Roman"/>
          <w:b/>
          <w:bCs/>
        </w:rPr>
        <w:t xml:space="preserve">low-risk, </w:t>
      </w:r>
      <w:r w:rsidRPr="00562DDB">
        <w:rPr>
          <w:rFonts w:ascii="Times New Roman" w:hAnsi="Times New Roman" w:cs="Times New Roman"/>
        </w:rPr>
        <w:t>stable investment suitable for long-term investors seeking consistent returns and financial security.</w:t>
      </w:r>
    </w:p>
    <w:p w14:paraId="3E1F5226" w14:textId="77777777" w:rsidR="00562DDB" w:rsidRPr="00562DDB" w:rsidRDefault="00562DDB" w:rsidP="00562DDB">
      <w:pPr>
        <w:numPr>
          <w:ilvl w:val="0"/>
          <w:numId w:val="33"/>
        </w:numPr>
        <w:rPr>
          <w:rFonts w:ascii="Times New Roman" w:hAnsi="Times New Roman" w:cs="Times New Roman"/>
        </w:rPr>
      </w:pPr>
      <w:r w:rsidRPr="00562DDB">
        <w:rPr>
          <w:rFonts w:ascii="Times New Roman" w:hAnsi="Times New Roman" w:cs="Times New Roman"/>
        </w:rPr>
        <w:t xml:space="preserve">Coca-Cola offers </w:t>
      </w:r>
      <w:r w:rsidRPr="0043071E">
        <w:rPr>
          <w:rFonts w:ascii="Times New Roman" w:hAnsi="Times New Roman" w:cs="Times New Roman"/>
          <w:b/>
          <w:bCs/>
        </w:rPr>
        <w:t>higher risk</w:t>
      </w:r>
      <w:r w:rsidRPr="00562DDB">
        <w:rPr>
          <w:rFonts w:ascii="Times New Roman" w:hAnsi="Times New Roman" w:cs="Times New Roman"/>
        </w:rPr>
        <w:t xml:space="preserve"> but greater reward potential, making it appealing to risk-tolerant investors willing to engage in speculative investments.</w:t>
      </w:r>
    </w:p>
    <w:p w14:paraId="529F5053" w14:textId="77777777" w:rsidR="00562DDB" w:rsidRPr="00562DDB" w:rsidRDefault="00562DDB" w:rsidP="00562DDB">
      <w:pPr>
        <w:rPr>
          <w:rFonts w:ascii="Times New Roman" w:hAnsi="Times New Roman" w:cs="Times New Roman"/>
        </w:rPr>
      </w:pPr>
      <w:r w:rsidRPr="00562DDB">
        <w:rPr>
          <w:rFonts w:ascii="Times New Roman" w:hAnsi="Times New Roman" w:cs="Times New Roman"/>
        </w:rPr>
        <w:t>Both companies remain influenced by common market drivers, but their strategic responses create diverse investment opportunities. A balanced portfolio could benefit from diversifying between both companies to mitigate risks while capturing growth potential. This analysis equips potential investors with the necessary insights to make informed financial decisions based on their risk preferences and investment goals.</w:t>
      </w:r>
    </w:p>
    <w:p w14:paraId="1219C600" w14:textId="77777777" w:rsidR="00A53D3D" w:rsidRDefault="00A53D3D" w:rsidP="00FC1AF4">
      <w:pPr>
        <w:rPr>
          <w:rFonts w:ascii="Times New Roman" w:hAnsi="Times New Roman" w:cs="Times New Roman"/>
          <w:b/>
          <w:bCs/>
        </w:rPr>
      </w:pPr>
    </w:p>
    <w:p w14:paraId="23604416" w14:textId="47B05F9E" w:rsidR="00FC1AF4" w:rsidRPr="00FC1AF4" w:rsidRDefault="00C54EE6" w:rsidP="00FC1AF4">
      <w:pPr>
        <w:rPr>
          <w:rFonts w:ascii="Times New Roman" w:hAnsi="Times New Roman" w:cs="Times New Roman"/>
          <w:b/>
          <w:bCs/>
          <w:sz w:val="28"/>
          <w:szCs w:val="28"/>
        </w:rPr>
      </w:pPr>
      <w:r>
        <w:rPr>
          <w:rFonts w:ascii="Times New Roman" w:hAnsi="Times New Roman" w:cs="Times New Roman"/>
          <w:b/>
          <w:bCs/>
          <w:sz w:val="28"/>
          <w:szCs w:val="28"/>
        </w:rPr>
        <w:t>6</w:t>
      </w:r>
      <w:r w:rsidR="00FC1AF4" w:rsidRPr="00FC1AF4">
        <w:rPr>
          <w:rFonts w:ascii="Times New Roman" w:hAnsi="Times New Roman" w:cs="Times New Roman"/>
          <w:b/>
          <w:bCs/>
          <w:sz w:val="28"/>
          <w:szCs w:val="28"/>
        </w:rPr>
        <w:t>. References</w:t>
      </w:r>
    </w:p>
    <w:p w14:paraId="3F20C18E" w14:textId="06891E6E" w:rsidR="00FC1AF4" w:rsidRDefault="00FC1AF4" w:rsidP="00FC1AF4">
      <w:pPr>
        <w:numPr>
          <w:ilvl w:val="0"/>
          <w:numId w:val="21"/>
        </w:numPr>
        <w:rPr>
          <w:rFonts w:ascii="Times New Roman" w:hAnsi="Times New Roman" w:cs="Times New Roman"/>
        </w:rPr>
      </w:pPr>
      <w:r w:rsidRPr="00FC1AF4">
        <w:rPr>
          <w:rFonts w:ascii="Times New Roman" w:hAnsi="Times New Roman" w:cs="Times New Roman"/>
        </w:rPr>
        <w:t xml:space="preserve">Historical Stock Data for PepsiCo  </w:t>
      </w:r>
    </w:p>
    <w:p w14:paraId="6A25B54C" w14:textId="5D3FEA87" w:rsidR="00A53D3D" w:rsidRDefault="00A53D3D" w:rsidP="00FC1AF4">
      <w:pPr>
        <w:numPr>
          <w:ilvl w:val="0"/>
          <w:numId w:val="21"/>
        </w:numPr>
        <w:rPr>
          <w:rFonts w:ascii="Times New Roman" w:hAnsi="Times New Roman" w:cs="Times New Roman"/>
        </w:rPr>
      </w:pPr>
      <w:hyperlink r:id="rId16" w:history="1">
        <w:r w:rsidRPr="00A53D3D">
          <w:rPr>
            <w:rStyle w:val="Hyperlink"/>
            <w:rFonts w:ascii="Times New Roman" w:hAnsi="Times New Roman" w:cs="Times New Roman"/>
          </w:rPr>
          <w:t>PepsiCo, Inc. Common Stock (PEP) Stock Price, Quote, News &amp; History | Nasdaq</w:t>
        </w:r>
      </w:hyperlink>
    </w:p>
    <w:p w14:paraId="13D2A3F5" w14:textId="3BA39158" w:rsidR="00A53D3D" w:rsidRDefault="00A53D3D" w:rsidP="00FC1AF4">
      <w:pPr>
        <w:numPr>
          <w:ilvl w:val="0"/>
          <w:numId w:val="21"/>
        </w:numPr>
        <w:rPr>
          <w:rFonts w:ascii="Times New Roman" w:hAnsi="Times New Roman" w:cs="Times New Roman"/>
        </w:rPr>
      </w:pPr>
      <w:r w:rsidRPr="00FC1AF4">
        <w:rPr>
          <w:rFonts w:ascii="Times New Roman" w:hAnsi="Times New Roman" w:cs="Times New Roman"/>
        </w:rPr>
        <w:t>Historical Stock Data for Coca-</w:t>
      </w:r>
      <w:r w:rsidR="008E1AB0" w:rsidRPr="00FC1AF4">
        <w:rPr>
          <w:rFonts w:ascii="Times New Roman" w:hAnsi="Times New Roman" w:cs="Times New Roman"/>
        </w:rPr>
        <w:t>Cola</w:t>
      </w:r>
      <w:r w:rsidR="008E1AB0">
        <w:rPr>
          <w:rFonts w:ascii="Times New Roman" w:hAnsi="Times New Roman" w:cs="Times New Roman"/>
        </w:rPr>
        <w:t>:</w:t>
      </w:r>
      <w:r>
        <w:rPr>
          <w:rFonts w:ascii="Times New Roman" w:hAnsi="Times New Roman" w:cs="Times New Roman"/>
        </w:rPr>
        <w:t xml:space="preserve"> </w:t>
      </w:r>
      <w:r w:rsidRPr="00FC1AF4">
        <w:rPr>
          <w:rFonts w:ascii="Times New Roman" w:hAnsi="Times New Roman" w:cs="Times New Roman"/>
        </w:rPr>
        <w:t xml:space="preserve">  </w:t>
      </w:r>
    </w:p>
    <w:p w14:paraId="45FBC316" w14:textId="546BCE86" w:rsidR="00A53D3D" w:rsidRPr="00FC1AF4" w:rsidRDefault="00A53D3D" w:rsidP="00FC1AF4">
      <w:pPr>
        <w:numPr>
          <w:ilvl w:val="0"/>
          <w:numId w:val="21"/>
        </w:numPr>
        <w:rPr>
          <w:rFonts w:ascii="Times New Roman" w:hAnsi="Times New Roman" w:cs="Times New Roman"/>
        </w:rPr>
      </w:pPr>
      <w:hyperlink r:id="rId17" w:history="1">
        <w:r w:rsidRPr="00A53D3D">
          <w:rPr>
            <w:rStyle w:val="Hyperlink"/>
            <w:rFonts w:ascii="Times New Roman" w:hAnsi="Times New Roman" w:cs="Times New Roman"/>
          </w:rPr>
          <w:t>Coca-Cola Company (The) Common Stock (KO) Stock Price, Quote, News &amp; History | Nasdaq</w:t>
        </w:r>
      </w:hyperlink>
    </w:p>
    <w:p w14:paraId="62535AF1" w14:textId="77777777" w:rsidR="00E33A92" w:rsidRPr="0089297D" w:rsidRDefault="00E33A92" w:rsidP="00FC1AF4">
      <w:pPr>
        <w:rPr>
          <w:rFonts w:ascii="Times New Roman" w:hAnsi="Times New Roman" w:cs="Times New Roman"/>
        </w:rPr>
      </w:pPr>
    </w:p>
    <w:sectPr w:rsidR="00E33A92" w:rsidRPr="0089297D">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FB560" w14:textId="77777777" w:rsidR="007C19D7" w:rsidRDefault="007C19D7" w:rsidP="00FC1AF4">
      <w:pPr>
        <w:spacing w:after="0" w:line="240" w:lineRule="auto"/>
      </w:pPr>
      <w:r>
        <w:separator/>
      </w:r>
    </w:p>
  </w:endnote>
  <w:endnote w:type="continuationSeparator" w:id="0">
    <w:p w14:paraId="0E26750D" w14:textId="77777777" w:rsidR="007C19D7" w:rsidRDefault="007C19D7" w:rsidP="00FC1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397277"/>
      <w:docPartObj>
        <w:docPartGallery w:val="Page Numbers (Bottom of Page)"/>
        <w:docPartUnique/>
      </w:docPartObj>
    </w:sdtPr>
    <w:sdtEndPr>
      <w:rPr>
        <w:noProof/>
      </w:rPr>
    </w:sdtEndPr>
    <w:sdtContent>
      <w:p w14:paraId="0F5B916A" w14:textId="2D8637E5" w:rsidR="005F581E" w:rsidRDefault="005F58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47668F" w14:textId="77777777" w:rsidR="005F581E" w:rsidRDefault="005F5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F464A" w14:textId="77777777" w:rsidR="007C19D7" w:rsidRDefault="007C19D7" w:rsidP="00FC1AF4">
      <w:pPr>
        <w:spacing w:after="0" w:line="240" w:lineRule="auto"/>
      </w:pPr>
      <w:r>
        <w:separator/>
      </w:r>
    </w:p>
  </w:footnote>
  <w:footnote w:type="continuationSeparator" w:id="0">
    <w:p w14:paraId="1C55324B" w14:textId="77777777" w:rsidR="007C19D7" w:rsidRDefault="007C19D7" w:rsidP="00FC1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F1C"/>
    <w:multiLevelType w:val="multilevel"/>
    <w:tmpl w:val="FDCC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05779"/>
    <w:multiLevelType w:val="multilevel"/>
    <w:tmpl w:val="F312B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E5F28"/>
    <w:multiLevelType w:val="multilevel"/>
    <w:tmpl w:val="8D92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35884"/>
    <w:multiLevelType w:val="multilevel"/>
    <w:tmpl w:val="014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379AE"/>
    <w:multiLevelType w:val="multilevel"/>
    <w:tmpl w:val="B1C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65225"/>
    <w:multiLevelType w:val="multilevel"/>
    <w:tmpl w:val="5A96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C3D89"/>
    <w:multiLevelType w:val="multilevel"/>
    <w:tmpl w:val="06B0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60D2"/>
    <w:multiLevelType w:val="multilevel"/>
    <w:tmpl w:val="4E14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30EE5"/>
    <w:multiLevelType w:val="multilevel"/>
    <w:tmpl w:val="1AFA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933C6"/>
    <w:multiLevelType w:val="multilevel"/>
    <w:tmpl w:val="C580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638AE"/>
    <w:multiLevelType w:val="multilevel"/>
    <w:tmpl w:val="540CE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C3642"/>
    <w:multiLevelType w:val="multilevel"/>
    <w:tmpl w:val="73A8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42BD5"/>
    <w:multiLevelType w:val="multilevel"/>
    <w:tmpl w:val="AA5AA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411864"/>
    <w:multiLevelType w:val="multilevel"/>
    <w:tmpl w:val="BF20D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AB7DCD"/>
    <w:multiLevelType w:val="multilevel"/>
    <w:tmpl w:val="F28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750E2"/>
    <w:multiLevelType w:val="hybridMultilevel"/>
    <w:tmpl w:val="627CA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975FAE"/>
    <w:multiLevelType w:val="multilevel"/>
    <w:tmpl w:val="E716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D6A56"/>
    <w:multiLevelType w:val="multilevel"/>
    <w:tmpl w:val="5184A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D3492A"/>
    <w:multiLevelType w:val="multilevel"/>
    <w:tmpl w:val="0E06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85709"/>
    <w:multiLevelType w:val="multilevel"/>
    <w:tmpl w:val="9A427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71021"/>
    <w:multiLevelType w:val="multilevel"/>
    <w:tmpl w:val="CD8C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27D1E"/>
    <w:multiLevelType w:val="multilevel"/>
    <w:tmpl w:val="6A60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F2FC0"/>
    <w:multiLevelType w:val="multilevel"/>
    <w:tmpl w:val="0BE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02C0C"/>
    <w:multiLevelType w:val="multilevel"/>
    <w:tmpl w:val="FB86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602D9"/>
    <w:multiLevelType w:val="multilevel"/>
    <w:tmpl w:val="EC46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64E8C"/>
    <w:multiLevelType w:val="multilevel"/>
    <w:tmpl w:val="2446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A71DB3"/>
    <w:multiLevelType w:val="multilevel"/>
    <w:tmpl w:val="28802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E6057B"/>
    <w:multiLevelType w:val="multilevel"/>
    <w:tmpl w:val="FBF2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603308"/>
    <w:multiLevelType w:val="multilevel"/>
    <w:tmpl w:val="0BD6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07A00"/>
    <w:multiLevelType w:val="multilevel"/>
    <w:tmpl w:val="44C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A60371"/>
    <w:multiLevelType w:val="multilevel"/>
    <w:tmpl w:val="67FC9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DE536B"/>
    <w:multiLevelType w:val="multilevel"/>
    <w:tmpl w:val="007E2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8475EC"/>
    <w:multiLevelType w:val="multilevel"/>
    <w:tmpl w:val="4C8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028215">
    <w:abstractNumId w:val="12"/>
  </w:num>
  <w:num w:numId="2" w16cid:durableId="496196193">
    <w:abstractNumId w:val="22"/>
  </w:num>
  <w:num w:numId="3" w16cid:durableId="1979142046">
    <w:abstractNumId w:val="2"/>
  </w:num>
  <w:num w:numId="4" w16cid:durableId="524096191">
    <w:abstractNumId w:val="8"/>
  </w:num>
  <w:num w:numId="5" w16cid:durableId="483358797">
    <w:abstractNumId w:val="21"/>
  </w:num>
  <w:num w:numId="6" w16cid:durableId="1604680594">
    <w:abstractNumId w:val="27"/>
  </w:num>
  <w:num w:numId="7" w16cid:durableId="1116365742">
    <w:abstractNumId w:val="24"/>
  </w:num>
  <w:num w:numId="8" w16cid:durableId="2090613095">
    <w:abstractNumId w:val="19"/>
  </w:num>
  <w:num w:numId="9" w16cid:durableId="810056445">
    <w:abstractNumId w:val="25"/>
  </w:num>
  <w:num w:numId="10" w16cid:durableId="957680559">
    <w:abstractNumId w:val="13"/>
  </w:num>
  <w:num w:numId="11" w16cid:durableId="1633096594">
    <w:abstractNumId w:val="31"/>
  </w:num>
  <w:num w:numId="12" w16cid:durableId="399133463">
    <w:abstractNumId w:val="1"/>
  </w:num>
  <w:num w:numId="13" w16cid:durableId="1903712841">
    <w:abstractNumId w:val="30"/>
  </w:num>
  <w:num w:numId="14" w16cid:durableId="1650478977">
    <w:abstractNumId w:val="26"/>
  </w:num>
  <w:num w:numId="15" w16cid:durableId="206840312">
    <w:abstractNumId w:val="17"/>
  </w:num>
  <w:num w:numId="16" w16cid:durableId="776632325">
    <w:abstractNumId w:val="28"/>
  </w:num>
  <w:num w:numId="17" w16cid:durableId="604657227">
    <w:abstractNumId w:val="10"/>
  </w:num>
  <w:num w:numId="18" w16cid:durableId="464615773">
    <w:abstractNumId w:val="18"/>
  </w:num>
  <w:num w:numId="19" w16cid:durableId="1423528532">
    <w:abstractNumId w:val="11"/>
  </w:num>
  <w:num w:numId="20" w16cid:durableId="458032697">
    <w:abstractNumId w:val="9"/>
  </w:num>
  <w:num w:numId="21" w16cid:durableId="91165252">
    <w:abstractNumId w:val="32"/>
  </w:num>
  <w:num w:numId="22" w16cid:durableId="2052487574">
    <w:abstractNumId w:val="15"/>
  </w:num>
  <w:num w:numId="23" w16cid:durableId="1432093085">
    <w:abstractNumId w:val="3"/>
  </w:num>
  <w:num w:numId="24" w16cid:durableId="1066074367">
    <w:abstractNumId w:val="5"/>
  </w:num>
  <w:num w:numId="25" w16cid:durableId="2073500043">
    <w:abstractNumId w:val="23"/>
  </w:num>
  <w:num w:numId="26" w16cid:durableId="1220050074">
    <w:abstractNumId w:val="7"/>
  </w:num>
  <w:num w:numId="27" w16cid:durableId="184097777">
    <w:abstractNumId w:val="29"/>
  </w:num>
  <w:num w:numId="28" w16cid:durableId="903951950">
    <w:abstractNumId w:val="4"/>
  </w:num>
  <w:num w:numId="29" w16cid:durableId="361322793">
    <w:abstractNumId w:val="6"/>
  </w:num>
  <w:num w:numId="30" w16cid:durableId="1147671789">
    <w:abstractNumId w:val="14"/>
  </w:num>
  <w:num w:numId="31" w16cid:durableId="521431515">
    <w:abstractNumId w:val="0"/>
  </w:num>
  <w:num w:numId="32" w16cid:durableId="1233394230">
    <w:abstractNumId w:val="16"/>
  </w:num>
  <w:num w:numId="33" w16cid:durableId="9259647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A86"/>
    <w:rsid w:val="00034273"/>
    <w:rsid w:val="000B7F63"/>
    <w:rsid w:val="001461E0"/>
    <w:rsid w:val="00192B0D"/>
    <w:rsid w:val="00192E76"/>
    <w:rsid w:val="002876B1"/>
    <w:rsid w:val="002C6A86"/>
    <w:rsid w:val="00352F75"/>
    <w:rsid w:val="003D0276"/>
    <w:rsid w:val="003D1426"/>
    <w:rsid w:val="0042589F"/>
    <w:rsid w:val="0043071E"/>
    <w:rsid w:val="00562DDB"/>
    <w:rsid w:val="005B6158"/>
    <w:rsid w:val="005C6F3D"/>
    <w:rsid w:val="005F581E"/>
    <w:rsid w:val="00635664"/>
    <w:rsid w:val="00645FDF"/>
    <w:rsid w:val="006F7E0B"/>
    <w:rsid w:val="00704DA7"/>
    <w:rsid w:val="007459BE"/>
    <w:rsid w:val="00750A80"/>
    <w:rsid w:val="00754506"/>
    <w:rsid w:val="007A3DF7"/>
    <w:rsid w:val="007A4BBD"/>
    <w:rsid w:val="007C175A"/>
    <w:rsid w:val="007C19D7"/>
    <w:rsid w:val="007D121E"/>
    <w:rsid w:val="007E1BC3"/>
    <w:rsid w:val="0089297D"/>
    <w:rsid w:val="008A5E8A"/>
    <w:rsid w:val="008C5543"/>
    <w:rsid w:val="008D33DA"/>
    <w:rsid w:val="008E1AB0"/>
    <w:rsid w:val="008F5AFA"/>
    <w:rsid w:val="0092438C"/>
    <w:rsid w:val="00990044"/>
    <w:rsid w:val="009920BF"/>
    <w:rsid w:val="009B2217"/>
    <w:rsid w:val="00A53C80"/>
    <w:rsid w:val="00A53D3D"/>
    <w:rsid w:val="00A556BE"/>
    <w:rsid w:val="00A71461"/>
    <w:rsid w:val="00A83A4D"/>
    <w:rsid w:val="00A93C79"/>
    <w:rsid w:val="00AA75A8"/>
    <w:rsid w:val="00AB0D3F"/>
    <w:rsid w:val="00AB1D88"/>
    <w:rsid w:val="00B84F14"/>
    <w:rsid w:val="00BA7CA2"/>
    <w:rsid w:val="00BC5F87"/>
    <w:rsid w:val="00BD28E3"/>
    <w:rsid w:val="00C42CB5"/>
    <w:rsid w:val="00C42FAD"/>
    <w:rsid w:val="00C45CAE"/>
    <w:rsid w:val="00C54EE6"/>
    <w:rsid w:val="00C9474D"/>
    <w:rsid w:val="00D42744"/>
    <w:rsid w:val="00D76C76"/>
    <w:rsid w:val="00DE6D15"/>
    <w:rsid w:val="00E15104"/>
    <w:rsid w:val="00E33A92"/>
    <w:rsid w:val="00E54897"/>
    <w:rsid w:val="00E86FD4"/>
    <w:rsid w:val="00EA0D58"/>
    <w:rsid w:val="00ED16A2"/>
    <w:rsid w:val="00ED476C"/>
    <w:rsid w:val="00EF6354"/>
    <w:rsid w:val="00F945D9"/>
    <w:rsid w:val="00FC1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8970C"/>
  <w15:chartTrackingRefBased/>
  <w15:docId w15:val="{FB7E44E7-F0CD-4EAC-815D-5EC413689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9BE"/>
  </w:style>
  <w:style w:type="paragraph" w:styleId="Heading1">
    <w:name w:val="heading 1"/>
    <w:basedOn w:val="Normal"/>
    <w:next w:val="Normal"/>
    <w:link w:val="Heading1Char"/>
    <w:uiPriority w:val="9"/>
    <w:qFormat/>
    <w:rsid w:val="002C6A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6A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6A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6A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6A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A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6A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6A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6A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6A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A86"/>
    <w:rPr>
      <w:rFonts w:eastAsiaTheme="majorEastAsia" w:cstheme="majorBidi"/>
      <w:color w:val="272727" w:themeColor="text1" w:themeTint="D8"/>
    </w:rPr>
  </w:style>
  <w:style w:type="paragraph" w:styleId="Title">
    <w:name w:val="Title"/>
    <w:basedOn w:val="Normal"/>
    <w:next w:val="Normal"/>
    <w:link w:val="TitleChar"/>
    <w:uiPriority w:val="10"/>
    <w:qFormat/>
    <w:rsid w:val="002C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A86"/>
    <w:pPr>
      <w:spacing w:before="160"/>
      <w:jc w:val="center"/>
    </w:pPr>
    <w:rPr>
      <w:i/>
      <w:iCs/>
      <w:color w:val="404040" w:themeColor="text1" w:themeTint="BF"/>
    </w:rPr>
  </w:style>
  <w:style w:type="character" w:customStyle="1" w:styleId="QuoteChar">
    <w:name w:val="Quote Char"/>
    <w:basedOn w:val="DefaultParagraphFont"/>
    <w:link w:val="Quote"/>
    <w:uiPriority w:val="29"/>
    <w:rsid w:val="002C6A86"/>
    <w:rPr>
      <w:i/>
      <w:iCs/>
      <w:color w:val="404040" w:themeColor="text1" w:themeTint="BF"/>
    </w:rPr>
  </w:style>
  <w:style w:type="paragraph" w:styleId="ListParagraph">
    <w:name w:val="List Paragraph"/>
    <w:basedOn w:val="Normal"/>
    <w:uiPriority w:val="34"/>
    <w:qFormat/>
    <w:rsid w:val="002C6A86"/>
    <w:pPr>
      <w:ind w:left="720"/>
      <w:contextualSpacing/>
    </w:pPr>
  </w:style>
  <w:style w:type="character" w:styleId="IntenseEmphasis">
    <w:name w:val="Intense Emphasis"/>
    <w:basedOn w:val="DefaultParagraphFont"/>
    <w:uiPriority w:val="21"/>
    <w:qFormat/>
    <w:rsid w:val="002C6A86"/>
    <w:rPr>
      <w:i/>
      <w:iCs/>
      <w:color w:val="2F5496" w:themeColor="accent1" w:themeShade="BF"/>
    </w:rPr>
  </w:style>
  <w:style w:type="paragraph" w:styleId="IntenseQuote">
    <w:name w:val="Intense Quote"/>
    <w:basedOn w:val="Normal"/>
    <w:next w:val="Normal"/>
    <w:link w:val="IntenseQuoteChar"/>
    <w:uiPriority w:val="30"/>
    <w:qFormat/>
    <w:rsid w:val="002C6A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6A86"/>
    <w:rPr>
      <w:i/>
      <w:iCs/>
      <w:color w:val="2F5496" w:themeColor="accent1" w:themeShade="BF"/>
    </w:rPr>
  </w:style>
  <w:style w:type="character" w:styleId="IntenseReference">
    <w:name w:val="Intense Reference"/>
    <w:basedOn w:val="DefaultParagraphFont"/>
    <w:uiPriority w:val="32"/>
    <w:qFormat/>
    <w:rsid w:val="002C6A86"/>
    <w:rPr>
      <w:b/>
      <w:bCs/>
      <w:smallCaps/>
      <w:color w:val="2F5496" w:themeColor="accent1" w:themeShade="BF"/>
      <w:spacing w:val="5"/>
    </w:rPr>
  </w:style>
  <w:style w:type="paragraph" w:styleId="Header">
    <w:name w:val="header"/>
    <w:basedOn w:val="Normal"/>
    <w:link w:val="HeaderChar"/>
    <w:uiPriority w:val="99"/>
    <w:unhideWhenUsed/>
    <w:rsid w:val="00FC1A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AF4"/>
  </w:style>
  <w:style w:type="paragraph" w:styleId="Footer">
    <w:name w:val="footer"/>
    <w:basedOn w:val="Normal"/>
    <w:link w:val="FooterChar"/>
    <w:uiPriority w:val="99"/>
    <w:unhideWhenUsed/>
    <w:rsid w:val="00FC1A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AF4"/>
  </w:style>
  <w:style w:type="table" w:styleId="TableGrid">
    <w:name w:val="Table Grid"/>
    <w:basedOn w:val="TableNormal"/>
    <w:uiPriority w:val="39"/>
    <w:rsid w:val="00FC1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3D3D"/>
    <w:rPr>
      <w:color w:val="0563C1" w:themeColor="hyperlink"/>
      <w:u w:val="single"/>
    </w:rPr>
  </w:style>
  <w:style w:type="character" w:styleId="UnresolvedMention">
    <w:name w:val="Unresolved Mention"/>
    <w:basedOn w:val="DefaultParagraphFont"/>
    <w:uiPriority w:val="99"/>
    <w:semiHidden/>
    <w:unhideWhenUsed/>
    <w:rsid w:val="00A53D3D"/>
    <w:rPr>
      <w:color w:val="605E5C"/>
      <w:shd w:val="clear" w:color="auto" w:fill="E1DFDD"/>
    </w:rPr>
  </w:style>
  <w:style w:type="character" w:styleId="Strong">
    <w:name w:val="Strong"/>
    <w:basedOn w:val="DefaultParagraphFont"/>
    <w:uiPriority w:val="22"/>
    <w:qFormat/>
    <w:rsid w:val="00C45C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1727">
      <w:bodyDiv w:val="1"/>
      <w:marLeft w:val="0"/>
      <w:marRight w:val="0"/>
      <w:marTop w:val="0"/>
      <w:marBottom w:val="0"/>
      <w:divBdr>
        <w:top w:val="none" w:sz="0" w:space="0" w:color="auto"/>
        <w:left w:val="none" w:sz="0" w:space="0" w:color="auto"/>
        <w:bottom w:val="none" w:sz="0" w:space="0" w:color="auto"/>
        <w:right w:val="none" w:sz="0" w:space="0" w:color="auto"/>
      </w:divBdr>
    </w:div>
    <w:div w:id="98065975">
      <w:bodyDiv w:val="1"/>
      <w:marLeft w:val="0"/>
      <w:marRight w:val="0"/>
      <w:marTop w:val="0"/>
      <w:marBottom w:val="0"/>
      <w:divBdr>
        <w:top w:val="none" w:sz="0" w:space="0" w:color="auto"/>
        <w:left w:val="none" w:sz="0" w:space="0" w:color="auto"/>
        <w:bottom w:val="none" w:sz="0" w:space="0" w:color="auto"/>
        <w:right w:val="none" w:sz="0" w:space="0" w:color="auto"/>
      </w:divBdr>
    </w:div>
    <w:div w:id="207492193">
      <w:bodyDiv w:val="1"/>
      <w:marLeft w:val="0"/>
      <w:marRight w:val="0"/>
      <w:marTop w:val="0"/>
      <w:marBottom w:val="0"/>
      <w:divBdr>
        <w:top w:val="none" w:sz="0" w:space="0" w:color="auto"/>
        <w:left w:val="none" w:sz="0" w:space="0" w:color="auto"/>
        <w:bottom w:val="none" w:sz="0" w:space="0" w:color="auto"/>
        <w:right w:val="none" w:sz="0" w:space="0" w:color="auto"/>
      </w:divBdr>
    </w:div>
    <w:div w:id="235865221">
      <w:bodyDiv w:val="1"/>
      <w:marLeft w:val="0"/>
      <w:marRight w:val="0"/>
      <w:marTop w:val="0"/>
      <w:marBottom w:val="0"/>
      <w:divBdr>
        <w:top w:val="none" w:sz="0" w:space="0" w:color="auto"/>
        <w:left w:val="none" w:sz="0" w:space="0" w:color="auto"/>
        <w:bottom w:val="none" w:sz="0" w:space="0" w:color="auto"/>
        <w:right w:val="none" w:sz="0" w:space="0" w:color="auto"/>
      </w:divBdr>
    </w:div>
    <w:div w:id="390732616">
      <w:bodyDiv w:val="1"/>
      <w:marLeft w:val="0"/>
      <w:marRight w:val="0"/>
      <w:marTop w:val="0"/>
      <w:marBottom w:val="0"/>
      <w:divBdr>
        <w:top w:val="none" w:sz="0" w:space="0" w:color="auto"/>
        <w:left w:val="none" w:sz="0" w:space="0" w:color="auto"/>
        <w:bottom w:val="none" w:sz="0" w:space="0" w:color="auto"/>
        <w:right w:val="none" w:sz="0" w:space="0" w:color="auto"/>
      </w:divBdr>
    </w:div>
    <w:div w:id="394279243">
      <w:bodyDiv w:val="1"/>
      <w:marLeft w:val="0"/>
      <w:marRight w:val="0"/>
      <w:marTop w:val="0"/>
      <w:marBottom w:val="0"/>
      <w:divBdr>
        <w:top w:val="none" w:sz="0" w:space="0" w:color="auto"/>
        <w:left w:val="none" w:sz="0" w:space="0" w:color="auto"/>
        <w:bottom w:val="none" w:sz="0" w:space="0" w:color="auto"/>
        <w:right w:val="none" w:sz="0" w:space="0" w:color="auto"/>
      </w:divBdr>
    </w:div>
    <w:div w:id="428743357">
      <w:bodyDiv w:val="1"/>
      <w:marLeft w:val="0"/>
      <w:marRight w:val="0"/>
      <w:marTop w:val="0"/>
      <w:marBottom w:val="0"/>
      <w:divBdr>
        <w:top w:val="none" w:sz="0" w:space="0" w:color="auto"/>
        <w:left w:val="none" w:sz="0" w:space="0" w:color="auto"/>
        <w:bottom w:val="none" w:sz="0" w:space="0" w:color="auto"/>
        <w:right w:val="none" w:sz="0" w:space="0" w:color="auto"/>
      </w:divBdr>
    </w:div>
    <w:div w:id="434790870">
      <w:bodyDiv w:val="1"/>
      <w:marLeft w:val="0"/>
      <w:marRight w:val="0"/>
      <w:marTop w:val="0"/>
      <w:marBottom w:val="0"/>
      <w:divBdr>
        <w:top w:val="none" w:sz="0" w:space="0" w:color="auto"/>
        <w:left w:val="none" w:sz="0" w:space="0" w:color="auto"/>
        <w:bottom w:val="none" w:sz="0" w:space="0" w:color="auto"/>
        <w:right w:val="none" w:sz="0" w:space="0" w:color="auto"/>
      </w:divBdr>
    </w:div>
    <w:div w:id="491063322">
      <w:bodyDiv w:val="1"/>
      <w:marLeft w:val="0"/>
      <w:marRight w:val="0"/>
      <w:marTop w:val="0"/>
      <w:marBottom w:val="0"/>
      <w:divBdr>
        <w:top w:val="none" w:sz="0" w:space="0" w:color="auto"/>
        <w:left w:val="none" w:sz="0" w:space="0" w:color="auto"/>
        <w:bottom w:val="none" w:sz="0" w:space="0" w:color="auto"/>
        <w:right w:val="none" w:sz="0" w:space="0" w:color="auto"/>
      </w:divBdr>
    </w:div>
    <w:div w:id="491410163">
      <w:bodyDiv w:val="1"/>
      <w:marLeft w:val="0"/>
      <w:marRight w:val="0"/>
      <w:marTop w:val="0"/>
      <w:marBottom w:val="0"/>
      <w:divBdr>
        <w:top w:val="none" w:sz="0" w:space="0" w:color="auto"/>
        <w:left w:val="none" w:sz="0" w:space="0" w:color="auto"/>
        <w:bottom w:val="none" w:sz="0" w:space="0" w:color="auto"/>
        <w:right w:val="none" w:sz="0" w:space="0" w:color="auto"/>
      </w:divBdr>
    </w:div>
    <w:div w:id="583493880">
      <w:bodyDiv w:val="1"/>
      <w:marLeft w:val="0"/>
      <w:marRight w:val="0"/>
      <w:marTop w:val="0"/>
      <w:marBottom w:val="0"/>
      <w:divBdr>
        <w:top w:val="none" w:sz="0" w:space="0" w:color="auto"/>
        <w:left w:val="none" w:sz="0" w:space="0" w:color="auto"/>
        <w:bottom w:val="none" w:sz="0" w:space="0" w:color="auto"/>
        <w:right w:val="none" w:sz="0" w:space="0" w:color="auto"/>
      </w:divBdr>
    </w:div>
    <w:div w:id="589393937">
      <w:bodyDiv w:val="1"/>
      <w:marLeft w:val="0"/>
      <w:marRight w:val="0"/>
      <w:marTop w:val="0"/>
      <w:marBottom w:val="0"/>
      <w:divBdr>
        <w:top w:val="none" w:sz="0" w:space="0" w:color="auto"/>
        <w:left w:val="none" w:sz="0" w:space="0" w:color="auto"/>
        <w:bottom w:val="none" w:sz="0" w:space="0" w:color="auto"/>
        <w:right w:val="none" w:sz="0" w:space="0" w:color="auto"/>
      </w:divBdr>
    </w:div>
    <w:div w:id="590891730">
      <w:bodyDiv w:val="1"/>
      <w:marLeft w:val="0"/>
      <w:marRight w:val="0"/>
      <w:marTop w:val="0"/>
      <w:marBottom w:val="0"/>
      <w:divBdr>
        <w:top w:val="none" w:sz="0" w:space="0" w:color="auto"/>
        <w:left w:val="none" w:sz="0" w:space="0" w:color="auto"/>
        <w:bottom w:val="none" w:sz="0" w:space="0" w:color="auto"/>
        <w:right w:val="none" w:sz="0" w:space="0" w:color="auto"/>
      </w:divBdr>
    </w:div>
    <w:div w:id="760223213">
      <w:bodyDiv w:val="1"/>
      <w:marLeft w:val="0"/>
      <w:marRight w:val="0"/>
      <w:marTop w:val="0"/>
      <w:marBottom w:val="0"/>
      <w:divBdr>
        <w:top w:val="none" w:sz="0" w:space="0" w:color="auto"/>
        <w:left w:val="none" w:sz="0" w:space="0" w:color="auto"/>
        <w:bottom w:val="none" w:sz="0" w:space="0" w:color="auto"/>
        <w:right w:val="none" w:sz="0" w:space="0" w:color="auto"/>
      </w:divBdr>
    </w:div>
    <w:div w:id="805583281">
      <w:bodyDiv w:val="1"/>
      <w:marLeft w:val="0"/>
      <w:marRight w:val="0"/>
      <w:marTop w:val="0"/>
      <w:marBottom w:val="0"/>
      <w:divBdr>
        <w:top w:val="none" w:sz="0" w:space="0" w:color="auto"/>
        <w:left w:val="none" w:sz="0" w:space="0" w:color="auto"/>
        <w:bottom w:val="none" w:sz="0" w:space="0" w:color="auto"/>
        <w:right w:val="none" w:sz="0" w:space="0" w:color="auto"/>
      </w:divBdr>
    </w:div>
    <w:div w:id="940183497">
      <w:bodyDiv w:val="1"/>
      <w:marLeft w:val="0"/>
      <w:marRight w:val="0"/>
      <w:marTop w:val="0"/>
      <w:marBottom w:val="0"/>
      <w:divBdr>
        <w:top w:val="none" w:sz="0" w:space="0" w:color="auto"/>
        <w:left w:val="none" w:sz="0" w:space="0" w:color="auto"/>
        <w:bottom w:val="none" w:sz="0" w:space="0" w:color="auto"/>
        <w:right w:val="none" w:sz="0" w:space="0" w:color="auto"/>
      </w:divBdr>
    </w:div>
    <w:div w:id="960379438">
      <w:bodyDiv w:val="1"/>
      <w:marLeft w:val="0"/>
      <w:marRight w:val="0"/>
      <w:marTop w:val="0"/>
      <w:marBottom w:val="0"/>
      <w:divBdr>
        <w:top w:val="none" w:sz="0" w:space="0" w:color="auto"/>
        <w:left w:val="none" w:sz="0" w:space="0" w:color="auto"/>
        <w:bottom w:val="none" w:sz="0" w:space="0" w:color="auto"/>
        <w:right w:val="none" w:sz="0" w:space="0" w:color="auto"/>
      </w:divBdr>
    </w:div>
    <w:div w:id="1124925503">
      <w:bodyDiv w:val="1"/>
      <w:marLeft w:val="0"/>
      <w:marRight w:val="0"/>
      <w:marTop w:val="0"/>
      <w:marBottom w:val="0"/>
      <w:divBdr>
        <w:top w:val="none" w:sz="0" w:space="0" w:color="auto"/>
        <w:left w:val="none" w:sz="0" w:space="0" w:color="auto"/>
        <w:bottom w:val="none" w:sz="0" w:space="0" w:color="auto"/>
        <w:right w:val="none" w:sz="0" w:space="0" w:color="auto"/>
      </w:divBdr>
    </w:div>
    <w:div w:id="1147087626">
      <w:bodyDiv w:val="1"/>
      <w:marLeft w:val="0"/>
      <w:marRight w:val="0"/>
      <w:marTop w:val="0"/>
      <w:marBottom w:val="0"/>
      <w:divBdr>
        <w:top w:val="none" w:sz="0" w:space="0" w:color="auto"/>
        <w:left w:val="none" w:sz="0" w:space="0" w:color="auto"/>
        <w:bottom w:val="none" w:sz="0" w:space="0" w:color="auto"/>
        <w:right w:val="none" w:sz="0" w:space="0" w:color="auto"/>
      </w:divBdr>
    </w:div>
    <w:div w:id="1152482118">
      <w:bodyDiv w:val="1"/>
      <w:marLeft w:val="0"/>
      <w:marRight w:val="0"/>
      <w:marTop w:val="0"/>
      <w:marBottom w:val="0"/>
      <w:divBdr>
        <w:top w:val="none" w:sz="0" w:space="0" w:color="auto"/>
        <w:left w:val="none" w:sz="0" w:space="0" w:color="auto"/>
        <w:bottom w:val="none" w:sz="0" w:space="0" w:color="auto"/>
        <w:right w:val="none" w:sz="0" w:space="0" w:color="auto"/>
      </w:divBdr>
      <w:divsChild>
        <w:div w:id="1128399343">
          <w:marLeft w:val="0"/>
          <w:marRight w:val="0"/>
          <w:marTop w:val="0"/>
          <w:marBottom w:val="0"/>
          <w:divBdr>
            <w:top w:val="none" w:sz="0" w:space="0" w:color="auto"/>
            <w:left w:val="none" w:sz="0" w:space="0" w:color="auto"/>
            <w:bottom w:val="none" w:sz="0" w:space="0" w:color="auto"/>
            <w:right w:val="none" w:sz="0" w:space="0" w:color="auto"/>
          </w:divBdr>
          <w:divsChild>
            <w:div w:id="669211679">
              <w:marLeft w:val="0"/>
              <w:marRight w:val="0"/>
              <w:marTop w:val="0"/>
              <w:marBottom w:val="0"/>
              <w:divBdr>
                <w:top w:val="none" w:sz="0" w:space="0" w:color="auto"/>
                <w:left w:val="none" w:sz="0" w:space="0" w:color="auto"/>
                <w:bottom w:val="none" w:sz="0" w:space="0" w:color="auto"/>
                <w:right w:val="none" w:sz="0" w:space="0" w:color="auto"/>
              </w:divBdr>
              <w:divsChild>
                <w:div w:id="1644240058">
                  <w:marLeft w:val="0"/>
                  <w:marRight w:val="0"/>
                  <w:marTop w:val="0"/>
                  <w:marBottom w:val="0"/>
                  <w:divBdr>
                    <w:top w:val="none" w:sz="0" w:space="0" w:color="auto"/>
                    <w:left w:val="none" w:sz="0" w:space="0" w:color="auto"/>
                    <w:bottom w:val="none" w:sz="0" w:space="0" w:color="auto"/>
                    <w:right w:val="none" w:sz="0" w:space="0" w:color="auto"/>
                  </w:divBdr>
                  <w:divsChild>
                    <w:div w:id="311099725">
                      <w:marLeft w:val="0"/>
                      <w:marRight w:val="0"/>
                      <w:marTop w:val="0"/>
                      <w:marBottom w:val="0"/>
                      <w:divBdr>
                        <w:top w:val="none" w:sz="0" w:space="0" w:color="auto"/>
                        <w:left w:val="none" w:sz="0" w:space="0" w:color="auto"/>
                        <w:bottom w:val="none" w:sz="0" w:space="0" w:color="auto"/>
                        <w:right w:val="none" w:sz="0" w:space="0" w:color="auto"/>
                      </w:divBdr>
                      <w:divsChild>
                        <w:div w:id="1044062137">
                          <w:marLeft w:val="0"/>
                          <w:marRight w:val="0"/>
                          <w:marTop w:val="0"/>
                          <w:marBottom w:val="0"/>
                          <w:divBdr>
                            <w:top w:val="none" w:sz="0" w:space="0" w:color="auto"/>
                            <w:left w:val="none" w:sz="0" w:space="0" w:color="auto"/>
                            <w:bottom w:val="none" w:sz="0" w:space="0" w:color="auto"/>
                            <w:right w:val="none" w:sz="0" w:space="0" w:color="auto"/>
                          </w:divBdr>
                          <w:divsChild>
                            <w:div w:id="1045832895">
                              <w:marLeft w:val="0"/>
                              <w:marRight w:val="0"/>
                              <w:marTop w:val="0"/>
                              <w:marBottom w:val="0"/>
                              <w:divBdr>
                                <w:top w:val="none" w:sz="0" w:space="0" w:color="auto"/>
                                <w:left w:val="none" w:sz="0" w:space="0" w:color="auto"/>
                                <w:bottom w:val="none" w:sz="0" w:space="0" w:color="auto"/>
                                <w:right w:val="none" w:sz="0" w:space="0" w:color="auto"/>
                              </w:divBdr>
                              <w:divsChild>
                                <w:div w:id="746924360">
                                  <w:marLeft w:val="0"/>
                                  <w:marRight w:val="0"/>
                                  <w:marTop w:val="0"/>
                                  <w:marBottom w:val="0"/>
                                  <w:divBdr>
                                    <w:top w:val="none" w:sz="0" w:space="0" w:color="auto"/>
                                    <w:left w:val="none" w:sz="0" w:space="0" w:color="auto"/>
                                    <w:bottom w:val="none" w:sz="0" w:space="0" w:color="auto"/>
                                    <w:right w:val="none" w:sz="0" w:space="0" w:color="auto"/>
                                  </w:divBdr>
                                  <w:divsChild>
                                    <w:div w:id="2749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0461554">
      <w:bodyDiv w:val="1"/>
      <w:marLeft w:val="0"/>
      <w:marRight w:val="0"/>
      <w:marTop w:val="0"/>
      <w:marBottom w:val="0"/>
      <w:divBdr>
        <w:top w:val="none" w:sz="0" w:space="0" w:color="auto"/>
        <w:left w:val="none" w:sz="0" w:space="0" w:color="auto"/>
        <w:bottom w:val="none" w:sz="0" w:space="0" w:color="auto"/>
        <w:right w:val="none" w:sz="0" w:space="0" w:color="auto"/>
      </w:divBdr>
    </w:div>
    <w:div w:id="1295794728">
      <w:bodyDiv w:val="1"/>
      <w:marLeft w:val="0"/>
      <w:marRight w:val="0"/>
      <w:marTop w:val="0"/>
      <w:marBottom w:val="0"/>
      <w:divBdr>
        <w:top w:val="none" w:sz="0" w:space="0" w:color="auto"/>
        <w:left w:val="none" w:sz="0" w:space="0" w:color="auto"/>
        <w:bottom w:val="none" w:sz="0" w:space="0" w:color="auto"/>
        <w:right w:val="none" w:sz="0" w:space="0" w:color="auto"/>
      </w:divBdr>
    </w:div>
    <w:div w:id="1334600186">
      <w:bodyDiv w:val="1"/>
      <w:marLeft w:val="0"/>
      <w:marRight w:val="0"/>
      <w:marTop w:val="0"/>
      <w:marBottom w:val="0"/>
      <w:divBdr>
        <w:top w:val="none" w:sz="0" w:space="0" w:color="auto"/>
        <w:left w:val="none" w:sz="0" w:space="0" w:color="auto"/>
        <w:bottom w:val="none" w:sz="0" w:space="0" w:color="auto"/>
        <w:right w:val="none" w:sz="0" w:space="0" w:color="auto"/>
      </w:divBdr>
    </w:div>
    <w:div w:id="1402219863">
      <w:bodyDiv w:val="1"/>
      <w:marLeft w:val="0"/>
      <w:marRight w:val="0"/>
      <w:marTop w:val="0"/>
      <w:marBottom w:val="0"/>
      <w:divBdr>
        <w:top w:val="none" w:sz="0" w:space="0" w:color="auto"/>
        <w:left w:val="none" w:sz="0" w:space="0" w:color="auto"/>
        <w:bottom w:val="none" w:sz="0" w:space="0" w:color="auto"/>
        <w:right w:val="none" w:sz="0" w:space="0" w:color="auto"/>
      </w:divBdr>
    </w:div>
    <w:div w:id="1472477464">
      <w:bodyDiv w:val="1"/>
      <w:marLeft w:val="0"/>
      <w:marRight w:val="0"/>
      <w:marTop w:val="0"/>
      <w:marBottom w:val="0"/>
      <w:divBdr>
        <w:top w:val="none" w:sz="0" w:space="0" w:color="auto"/>
        <w:left w:val="none" w:sz="0" w:space="0" w:color="auto"/>
        <w:bottom w:val="none" w:sz="0" w:space="0" w:color="auto"/>
        <w:right w:val="none" w:sz="0" w:space="0" w:color="auto"/>
      </w:divBdr>
    </w:div>
    <w:div w:id="1500385183">
      <w:bodyDiv w:val="1"/>
      <w:marLeft w:val="0"/>
      <w:marRight w:val="0"/>
      <w:marTop w:val="0"/>
      <w:marBottom w:val="0"/>
      <w:divBdr>
        <w:top w:val="none" w:sz="0" w:space="0" w:color="auto"/>
        <w:left w:val="none" w:sz="0" w:space="0" w:color="auto"/>
        <w:bottom w:val="none" w:sz="0" w:space="0" w:color="auto"/>
        <w:right w:val="none" w:sz="0" w:space="0" w:color="auto"/>
      </w:divBdr>
    </w:div>
    <w:div w:id="1592154521">
      <w:bodyDiv w:val="1"/>
      <w:marLeft w:val="0"/>
      <w:marRight w:val="0"/>
      <w:marTop w:val="0"/>
      <w:marBottom w:val="0"/>
      <w:divBdr>
        <w:top w:val="none" w:sz="0" w:space="0" w:color="auto"/>
        <w:left w:val="none" w:sz="0" w:space="0" w:color="auto"/>
        <w:bottom w:val="none" w:sz="0" w:space="0" w:color="auto"/>
        <w:right w:val="none" w:sz="0" w:space="0" w:color="auto"/>
      </w:divBdr>
    </w:div>
    <w:div w:id="1606034535">
      <w:bodyDiv w:val="1"/>
      <w:marLeft w:val="0"/>
      <w:marRight w:val="0"/>
      <w:marTop w:val="0"/>
      <w:marBottom w:val="0"/>
      <w:divBdr>
        <w:top w:val="none" w:sz="0" w:space="0" w:color="auto"/>
        <w:left w:val="none" w:sz="0" w:space="0" w:color="auto"/>
        <w:bottom w:val="none" w:sz="0" w:space="0" w:color="auto"/>
        <w:right w:val="none" w:sz="0" w:space="0" w:color="auto"/>
      </w:divBdr>
    </w:div>
    <w:div w:id="1660235440">
      <w:bodyDiv w:val="1"/>
      <w:marLeft w:val="0"/>
      <w:marRight w:val="0"/>
      <w:marTop w:val="0"/>
      <w:marBottom w:val="0"/>
      <w:divBdr>
        <w:top w:val="none" w:sz="0" w:space="0" w:color="auto"/>
        <w:left w:val="none" w:sz="0" w:space="0" w:color="auto"/>
        <w:bottom w:val="none" w:sz="0" w:space="0" w:color="auto"/>
        <w:right w:val="none" w:sz="0" w:space="0" w:color="auto"/>
      </w:divBdr>
    </w:div>
    <w:div w:id="1729960004">
      <w:bodyDiv w:val="1"/>
      <w:marLeft w:val="0"/>
      <w:marRight w:val="0"/>
      <w:marTop w:val="0"/>
      <w:marBottom w:val="0"/>
      <w:divBdr>
        <w:top w:val="none" w:sz="0" w:space="0" w:color="auto"/>
        <w:left w:val="none" w:sz="0" w:space="0" w:color="auto"/>
        <w:bottom w:val="none" w:sz="0" w:space="0" w:color="auto"/>
        <w:right w:val="none" w:sz="0" w:space="0" w:color="auto"/>
      </w:divBdr>
    </w:div>
    <w:div w:id="1877816751">
      <w:bodyDiv w:val="1"/>
      <w:marLeft w:val="0"/>
      <w:marRight w:val="0"/>
      <w:marTop w:val="0"/>
      <w:marBottom w:val="0"/>
      <w:divBdr>
        <w:top w:val="none" w:sz="0" w:space="0" w:color="auto"/>
        <w:left w:val="none" w:sz="0" w:space="0" w:color="auto"/>
        <w:bottom w:val="none" w:sz="0" w:space="0" w:color="auto"/>
        <w:right w:val="none" w:sz="0" w:space="0" w:color="auto"/>
      </w:divBdr>
      <w:divsChild>
        <w:div w:id="1010371631">
          <w:marLeft w:val="0"/>
          <w:marRight w:val="0"/>
          <w:marTop w:val="0"/>
          <w:marBottom w:val="0"/>
          <w:divBdr>
            <w:top w:val="none" w:sz="0" w:space="0" w:color="auto"/>
            <w:left w:val="none" w:sz="0" w:space="0" w:color="auto"/>
            <w:bottom w:val="none" w:sz="0" w:space="0" w:color="auto"/>
            <w:right w:val="none" w:sz="0" w:space="0" w:color="auto"/>
          </w:divBdr>
          <w:divsChild>
            <w:div w:id="252712943">
              <w:marLeft w:val="0"/>
              <w:marRight w:val="0"/>
              <w:marTop w:val="0"/>
              <w:marBottom w:val="0"/>
              <w:divBdr>
                <w:top w:val="none" w:sz="0" w:space="0" w:color="auto"/>
                <w:left w:val="none" w:sz="0" w:space="0" w:color="auto"/>
                <w:bottom w:val="none" w:sz="0" w:space="0" w:color="auto"/>
                <w:right w:val="none" w:sz="0" w:space="0" w:color="auto"/>
              </w:divBdr>
              <w:divsChild>
                <w:div w:id="162673257">
                  <w:marLeft w:val="0"/>
                  <w:marRight w:val="0"/>
                  <w:marTop w:val="0"/>
                  <w:marBottom w:val="0"/>
                  <w:divBdr>
                    <w:top w:val="none" w:sz="0" w:space="0" w:color="auto"/>
                    <w:left w:val="none" w:sz="0" w:space="0" w:color="auto"/>
                    <w:bottom w:val="none" w:sz="0" w:space="0" w:color="auto"/>
                    <w:right w:val="none" w:sz="0" w:space="0" w:color="auto"/>
                  </w:divBdr>
                  <w:divsChild>
                    <w:div w:id="433061975">
                      <w:marLeft w:val="0"/>
                      <w:marRight w:val="0"/>
                      <w:marTop w:val="0"/>
                      <w:marBottom w:val="0"/>
                      <w:divBdr>
                        <w:top w:val="none" w:sz="0" w:space="0" w:color="auto"/>
                        <w:left w:val="none" w:sz="0" w:space="0" w:color="auto"/>
                        <w:bottom w:val="none" w:sz="0" w:space="0" w:color="auto"/>
                        <w:right w:val="none" w:sz="0" w:space="0" w:color="auto"/>
                      </w:divBdr>
                      <w:divsChild>
                        <w:div w:id="251593268">
                          <w:marLeft w:val="0"/>
                          <w:marRight w:val="0"/>
                          <w:marTop w:val="0"/>
                          <w:marBottom w:val="0"/>
                          <w:divBdr>
                            <w:top w:val="none" w:sz="0" w:space="0" w:color="auto"/>
                            <w:left w:val="none" w:sz="0" w:space="0" w:color="auto"/>
                            <w:bottom w:val="none" w:sz="0" w:space="0" w:color="auto"/>
                            <w:right w:val="none" w:sz="0" w:space="0" w:color="auto"/>
                          </w:divBdr>
                          <w:divsChild>
                            <w:div w:id="2095857986">
                              <w:marLeft w:val="0"/>
                              <w:marRight w:val="0"/>
                              <w:marTop w:val="0"/>
                              <w:marBottom w:val="0"/>
                              <w:divBdr>
                                <w:top w:val="none" w:sz="0" w:space="0" w:color="auto"/>
                                <w:left w:val="none" w:sz="0" w:space="0" w:color="auto"/>
                                <w:bottom w:val="none" w:sz="0" w:space="0" w:color="auto"/>
                                <w:right w:val="none" w:sz="0" w:space="0" w:color="auto"/>
                              </w:divBdr>
                              <w:divsChild>
                                <w:div w:id="2069642421">
                                  <w:marLeft w:val="0"/>
                                  <w:marRight w:val="0"/>
                                  <w:marTop w:val="0"/>
                                  <w:marBottom w:val="0"/>
                                  <w:divBdr>
                                    <w:top w:val="none" w:sz="0" w:space="0" w:color="auto"/>
                                    <w:left w:val="none" w:sz="0" w:space="0" w:color="auto"/>
                                    <w:bottom w:val="none" w:sz="0" w:space="0" w:color="auto"/>
                                    <w:right w:val="none" w:sz="0" w:space="0" w:color="auto"/>
                                  </w:divBdr>
                                  <w:divsChild>
                                    <w:div w:id="15148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533659">
      <w:bodyDiv w:val="1"/>
      <w:marLeft w:val="0"/>
      <w:marRight w:val="0"/>
      <w:marTop w:val="0"/>
      <w:marBottom w:val="0"/>
      <w:divBdr>
        <w:top w:val="none" w:sz="0" w:space="0" w:color="auto"/>
        <w:left w:val="none" w:sz="0" w:space="0" w:color="auto"/>
        <w:bottom w:val="none" w:sz="0" w:space="0" w:color="auto"/>
        <w:right w:val="none" w:sz="0" w:space="0" w:color="auto"/>
      </w:divBdr>
    </w:div>
    <w:div w:id="2003072933">
      <w:bodyDiv w:val="1"/>
      <w:marLeft w:val="0"/>
      <w:marRight w:val="0"/>
      <w:marTop w:val="0"/>
      <w:marBottom w:val="0"/>
      <w:divBdr>
        <w:top w:val="none" w:sz="0" w:space="0" w:color="auto"/>
        <w:left w:val="none" w:sz="0" w:space="0" w:color="auto"/>
        <w:bottom w:val="none" w:sz="0" w:space="0" w:color="auto"/>
        <w:right w:val="none" w:sz="0" w:space="0" w:color="auto"/>
      </w:divBdr>
    </w:div>
    <w:div w:id="201761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hyperlink" Target="https://www.nasdaq.com/market-activity/stocks/ko" TargetMode="External"/><Relationship Id="rId2" Type="http://schemas.openxmlformats.org/officeDocument/2006/relationships/numbering" Target="numbering.xml"/><Relationship Id="rId16" Type="http://schemas.openxmlformats.org/officeDocument/2006/relationships/hyperlink" Target="https://www.nasdaq.com/market-activity/stocks/pe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10" Type="http://schemas.openxmlformats.org/officeDocument/2006/relationships/chart" Target="charts/chart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D:\Python\project\luis_assignment(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Python\project\luis_assignment(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Python\project\luis_assignment(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Python\project\luis_assignment(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Python\project\luis_assignment(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Python\project\luis_assignment(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Python\project\luis_assignment(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Python\project\luis_assignment(2).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Stock Price Trend </a:t>
            </a:r>
            <a:endParaRPr lang="en-US"/>
          </a:p>
          <a:p>
            <a:pPr>
              <a:defRPr/>
            </a:pP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'pepsi dataset'!$B$1</c:f>
              <c:strCache>
                <c:ptCount val="1"/>
                <c:pt idx="0">
                  <c:v>Open</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strRef>
              <c:f>'pepsi dataset'!$A$2:$A$100</c:f>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f>'pepsi dataset'!$B$2:$B$100</c:f>
              <c:numCache>
                <c:formatCode>General</c:formatCode>
                <c:ptCount val="99"/>
                <c:pt idx="0">
                  <c:v>152.88</c:v>
                </c:pt>
                <c:pt idx="1">
                  <c:v>150.96</c:v>
                </c:pt>
                <c:pt idx="2">
                  <c:v>149.6</c:v>
                </c:pt>
                <c:pt idx="3">
                  <c:v>146.46</c:v>
                </c:pt>
                <c:pt idx="4">
                  <c:v>145.4</c:v>
                </c:pt>
                <c:pt idx="5">
                  <c:v>145</c:v>
                </c:pt>
                <c:pt idx="6">
                  <c:v>142.79</c:v>
                </c:pt>
                <c:pt idx="7">
                  <c:v>144.19</c:v>
                </c:pt>
                <c:pt idx="8">
                  <c:v>145.49</c:v>
                </c:pt>
                <c:pt idx="9">
                  <c:v>144.05000000000001</c:v>
                </c:pt>
                <c:pt idx="10">
                  <c:v>147.72</c:v>
                </c:pt>
                <c:pt idx="11">
                  <c:v>148.33000000000001</c:v>
                </c:pt>
                <c:pt idx="12">
                  <c:v>148.22999999999999</c:v>
                </c:pt>
                <c:pt idx="13">
                  <c:v>148.49</c:v>
                </c:pt>
                <c:pt idx="14">
                  <c:v>148.82</c:v>
                </c:pt>
                <c:pt idx="15">
                  <c:v>150.91999999999999</c:v>
                </c:pt>
                <c:pt idx="16">
                  <c:v>154.14500000000001</c:v>
                </c:pt>
                <c:pt idx="17">
                  <c:v>151.13</c:v>
                </c:pt>
                <c:pt idx="18">
                  <c:v>151.28</c:v>
                </c:pt>
                <c:pt idx="19">
                  <c:v>150.76</c:v>
                </c:pt>
                <c:pt idx="20">
                  <c:v>149.755</c:v>
                </c:pt>
                <c:pt idx="21">
                  <c:v>146.1</c:v>
                </c:pt>
                <c:pt idx="22">
                  <c:v>143.38999999999999</c:v>
                </c:pt>
                <c:pt idx="23">
                  <c:v>146.26</c:v>
                </c:pt>
                <c:pt idx="24">
                  <c:v>145.01</c:v>
                </c:pt>
                <c:pt idx="25">
                  <c:v>144.35</c:v>
                </c:pt>
                <c:pt idx="26">
                  <c:v>144.37</c:v>
                </c:pt>
                <c:pt idx="27">
                  <c:v>144.04</c:v>
                </c:pt>
                <c:pt idx="28">
                  <c:v>144.22999999999999</c:v>
                </c:pt>
                <c:pt idx="29">
                  <c:v>144.66999999999999</c:v>
                </c:pt>
                <c:pt idx="30">
                  <c:v>142.9</c:v>
                </c:pt>
                <c:pt idx="31">
                  <c:v>144.22999999999999</c:v>
                </c:pt>
                <c:pt idx="32">
                  <c:v>145.11000000000001</c:v>
                </c:pt>
                <c:pt idx="33">
                  <c:v>149.99</c:v>
                </c:pt>
                <c:pt idx="34">
                  <c:v>152.34</c:v>
                </c:pt>
                <c:pt idx="35">
                  <c:v>154.79</c:v>
                </c:pt>
                <c:pt idx="36">
                  <c:v>155.57</c:v>
                </c:pt>
                <c:pt idx="37">
                  <c:v>150.9</c:v>
                </c:pt>
                <c:pt idx="38">
                  <c:v>153.69999999999999</c:v>
                </c:pt>
                <c:pt idx="39">
                  <c:v>167.72</c:v>
                </c:pt>
                <c:pt idx="40">
                  <c:v>167.72</c:v>
                </c:pt>
                <c:pt idx="41">
                  <c:v>169.38</c:v>
                </c:pt>
                <c:pt idx="42">
                  <c:v>172.07</c:v>
                </c:pt>
                <c:pt idx="43">
                  <c:v>174</c:v>
                </c:pt>
                <c:pt idx="44">
                  <c:v>174.95500000000001</c:v>
                </c:pt>
                <c:pt idx="45">
                  <c:v>176.35499999999999</c:v>
                </c:pt>
                <c:pt idx="46">
                  <c:v>175.01</c:v>
                </c:pt>
                <c:pt idx="47">
                  <c:v>174.38</c:v>
                </c:pt>
                <c:pt idx="48">
                  <c:v>172.3</c:v>
                </c:pt>
                <c:pt idx="49">
                  <c:v>174.46</c:v>
                </c:pt>
                <c:pt idx="50">
                  <c:v>174.51</c:v>
                </c:pt>
                <c:pt idx="51">
                  <c:v>173.7</c:v>
                </c:pt>
                <c:pt idx="52">
                  <c:v>172.92</c:v>
                </c:pt>
                <c:pt idx="53">
                  <c:v>172.47</c:v>
                </c:pt>
                <c:pt idx="54">
                  <c:v>172.98</c:v>
                </c:pt>
                <c:pt idx="55">
                  <c:v>169.2</c:v>
                </c:pt>
                <c:pt idx="56">
                  <c:v>167</c:v>
                </c:pt>
                <c:pt idx="57">
                  <c:v>166.1</c:v>
                </c:pt>
                <c:pt idx="58">
                  <c:v>166.09</c:v>
                </c:pt>
                <c:pt idx="59">
                  <c:v>165.59</c:v>
                </c:pt>
                <c:pt idx="60">
                  <c:v>165.95</c:v>
                </c:pt>
                <c:pt idx="61">
                  <c:v>167.37</c:v>
                </c:pt>
                <c:pt idx="62">
                  <c:v>164.5</c:v>
                </c:pt>
                <c:pt idx="63">
                  <c:v>163.84</c:v>
                </c:pt>
                <c:pt idx="64">
                  <c:v>164.41</c:v>
                </c:pt>
                <c:pt idx="65">
                  <c:v>164.09</c:v>
                </c:pt>
                <c:pt idx="66">
                  <c:v>163.49</c:v>
                </c:pt>
                <c:pt idx="67">
                  <c:v>164.74</c:v>
                </c:pt>
                <c:pt idx="68">
                  <c:v>164.38</c:v>
                </c:pt>
                <c:pt idx="69">
                  <c:v>159.405</c:v>
                </c:pt>
                <c:pt idx="70">
                  <c:v>157.75</c:v>
                </c:pt>
                <c:pt idx="71">
                  <c:v>156.44999999999999</c:v>
                </c:pt>
                <c:pt idx="72">
                  <c:v>158.38999999999999</c:v>
                </c:pt>
                <c:pt idx="73">
                  <c:v>160.9</c:v>
                </c:pt>
                <c:pt idx="74">
                  <c:v>162.69999999999999</c:v>
                </c:pt>
                <c:pt idx="75">
                  <c:v>163.27000000000001</c:v>
                </c:pt>
                <c:pt idx="76">
                  <c:v>161.94</c:v>
                </c:pt>
                <c:pt idx="77">
                  <c:v>161.43</c:v>
                </c:pt>
                <c:pt idx="78">
                  <c:v>163.315</c:v>
                </c:pt>
                <c:pt idx="79">
                  <c:v>162.84</c:v>
                </c:pt>
                <c:pt idx="80">
                  <c:v>160.6</c:v>
                </c:pt>
                <c:pt idx="81">
                  <c:v>160.93</c:v>
                </c:pt>
                <c:pt idx="82">
                  <c:v>159.35</c:v>
                </c:pt>
                <c:pt idx="83">
                  <c:v>157.91</c:v>
                </c:pt>
                <c:pt idx="84">
                  <c:v>159</c:v>
                </c:pt>
                <c:pt idx="85">
                  <c:v>160.21</c:v>
                </c:pt>
                <c:pt idx="86">
                  <c:v>159.09</c:v>
                </c:pt>
                <c:pt idx="87">
                  <c:v>157.53</c:v>
                </c:pt>
                <c:pt idx="88">
                  <c:v>157.85</c:v>
                </c:pt>
                <c:pt idx="89">
                  <c:v>155.74</c:v>
                </c:pt>
                <c:pt idx="90">
                  <c:v>155.03</c:v>
                </c:pt>
                <c:pt idx="91">
                  <c:v>153.09</c:v>
                </c:pt>
                <c:pt idx="92">
                  <c:v>150.86000000000001</c:v>
                </c:pt>
                <c:pt idx="93">
                  <c:v>152.41</c:v>
                </c:pt>
                <c:pt idx="94">
                  <c:v>150.5</c:v>
                </c:pt>
                <c:pt idx="95">
                  <c:v>152.53</c:v>
                </c:pt>
                <c:pt idx="96">
                  <c:v>151.29</c:v>
                </c:pt>
                <c:pt idx="97">
                  <c:v>152.66</c:v>
                </c:pt>
                <c:pt idx="98">
                  <c:v>151.80000000000001</c:v>
                </c:pt>
              </c:numCache>
            </c:numRef>
          </c:val>
          <c:smooth val="0"/>
          <c:extLst>
            <c:ext xmlns:c16="http://schemas.microsoft.com/office/drawing/2014/chart" uri="{C3380CC4-5D6E-409C-BE32-E72D297353CC}">
              <c16:uniqueId val="{00000000-8030-40FA-A3AD-F84B7FFA96CB}"/>
            </c:ext>
          </c:extLst>
        </c:ser>
        <c:dLbls>
          <c:showLegendKey val="0"/>
          <c:showVal val="0"/>
          <c:showCatName val="0"/>
          <c:showSerName val="0"/>
          <c:showPercent val="0"/>
          <c:showBubbleSize val="0"/>
        </c:dLbls>
        <c:smooth val="0"/>
        <c:axId val="816126320"/>
        <c:axId val="816136880"/>
      </c:lineChart>
      <c:catAx>
        <c:axId val="816126320"/>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136880"/>
        <c:crosses val="autoZero"/>
        <c:auto val="1"/>
        <c:lblAlgn val="ctr"/>
        <c:lblOffset val="100"/>
        <c:noMultiLvlLbl val="0"/>
      </c:catAx>
      <c:valAx>
        <c:axId val="816136880"/>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OPEN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12632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IN"/>
              <a:t>Stock Price Trend </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lotArea>
      <c:layout/>
      <c:lineChart>
        <c:grouping val="standard"/>
        <c:varyColors val="0"/>
        <c:ser>
          <c:idx val="0"/>
          <c:order val="0"/>
          <c:tx>
            <c:strRef>
              <c:f>'cocola dataset'!$B$1</c:f>
              <c:strCache>
                <c:ptCount val="1"/>
                <c:pt idx="0">
                  <c:v> Open </c:v>
                </c:pt>
              </c:strCache>
            </c:strRef>
          </c:tx>
          <c:spPr>
            <a:ln w="38100" cap="rnd">
              <a:solidFill>
                <a:schemeClr val="accent4"/>
              </a:solidFill>
              <a:round/>
            </a:ln>
            <a:effectLst/>
          </c:spPr>
          <c:marker>
            <c:symbol val="none"/>
          </c:marker>
          <c:trendline>
            <c:spPr>
              <a:ln w="19050" cap="rnd">
                <a:solidFill>
                  <a:schemeClr val="accent4"/>
                </a:solidFill>
                <a:round/>
              </a:ln>
              <a:effectLst/>
            </c:spPr>
            <c:trendlineType val="linear"/>
            <c:dispRSqr val="0"/>
            <c:dispEq val="0"/>
          </c:trendline>
          <c:cat>
            <c:strRef>
              <c:f>'cocola dataset'!$A$2:$A$100</c:f>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f>'cocola dataset'!$B$2:$B$100</c:f>
              <c:numCache>
                <c:formatCode>_(* #,##0.00_);_(* \(#,##0.00\);_(* "-"??_);_(@_)</c:formatCode>
                <c:ptCount val="99"/>
                <c:pt idx="0">
                  <c:v>71.45</c:v>
                </c:pt>
                <c:pt idx="1">
                  <c:v>70.72</c:v>
                </c:pt>
                <c:pt idx="2">
                  <c:v>71.27</c:v>
                </c:pt>
                <c:pt idx="3">
                  <c:v>70.86</c:v>
                </c:pt>
                <c:pt idx="4">
                  <c:v>70.84</c:v>
                </c:pt>
                <c:pt idx="5">
                  <c:v>70.319999999999993</c:v>
                </c:pt>
                <c:pt idx="6">
                  <c:v>69.709999999999994</c:v>
                </c:pt>
                <c:pt idx="7">
                  <c:v>69.209999999999994</c:v>
                </c:pt>
                <c:pt idx="8">
                  <c:v>68.55</c:v>
                </c:pt>
                <c:pt idx="9">
                  <c:v>69.364999999999995</c:v>
                </c:pt>
                <c:pt idx="10">
                  <c:v>69</c:v>
                </c:pt>
                <c:pt idx="11">
                  <c:v>66.87</c:v>
                </c:pt>
                <c:pt idx="12">
                  <c:v>67.5</c:v>
                </c:pt>
                <c:pt idx="13">
                  <c:v>64.099999999999994</c:v>
                </c:pt>
                <c:pt idx="14">
                  <c:v>63.43</c:v>
                </c:pt>
                <c:pt idx="15">
                  <c:v>63.62</c:v>
                </c:pt>
                <c:pt idx="16">
                  <c:v>62.72</c:v>
                </c:pt>
                <c:pt idx="17">
                  <c:v>63.61</c:v>
                </c:pt>
                <c:pt idx="18">
                  <c:v>63.18</c:v>
                </c:pt>
                <c:pt idx="19">
                  <c:v>63.7</c:v>
                </c:pt>
                <c:pt idx="20">
                  <c:v>63.85</c:v>
                </c:pt>
                <c:pt idx="21">
                  <c:v>62.56</c:v>
                </c:pt>
                <c:pt idx="22">
                  <c:v>63.51</c:v>
                </c:pt>
                <c:pt idx="23">
                  <c:v>62.87</c:v>
                </c:pt>
                <c:pt idx="24">
                  <c:v>61.72</c:v>
                </c:pt>
                <c:pt idx="25">
                  <c:v>61.8</c:v>
                </c:pt>
                <c:pt idx="26">
                  <c:v>62.12</c:v>
                </c:pt>
                <c:pt idx="27">
                  <c:v>62.9</c:v>
                </c:pt>
                <c:pt idx="28">
                  <c:v>62.31</c:v>
                </c:pt>
                <c:pt idx="29">
                  <c:v>61.42</c:v>
                </c:pt>
                <c:pt idx="30">
                  <c:v>62.33</c:v>
                </c:pt>
                <c:pt idx="31">
                  <c:v>61.655000000000001</c:v>
                </c:pt>
                <c:pt idx="32">
                  <c:v>61.13</c:v>
                </c:pt>
                <c:pt idx="33">
                  <c:v>61.58</c:v>
                </c:pt>
                <c:pt idx="34">
                  <c:v>60.99</c:v>
                </c:pt>
                <c:pt idx="35">
                  <c:v>61.11</c:v>
                </c:pt>
                <c:pt idx="36">
                  <c:v>61.5</c:v>
                </c:pt>
                <c:pt idx="37">
                  <c:v>61.9</c:v>
                </c:pt>
                <c:pt idx="38">
                  <c:v>62.35</c:v>
                </c:pt>
                <c:pt idx="39">
                  <c:v>62.02</c:v>
                </c:pt>
                <c:pt idx="40">
                  <c:v>62.34</c:v>
                </c:pt>
                <c:pt idx="41">
                  <c:v>62.45</c:v>
                </c:pt>
                <c:pt idx="42">
                  <c:v>62.62</c:v>
                </c:pt>
                <c:pt idx="43">
                  <c:v>62.2</c:v>
                </c:pt>
                <c:pt idx="44">
                  <c:v>62.5</c:v>
                </c:pt>
                <c:pt idx="45">
                  <c:v>62.47</c:v>
                </c:pt>
                <c:pt idx="46">
                  <c:v>62.7</c:v>
                </c:pt>
                <c:pt idx="47">
                  <c:v>62.81</c:v>
                </c:pt>
                <c:pt idx="48">
                  <c:v>62.45</c:v>
                </c:pt>
                <c:pt idx="49">
                  <c:v>63.23</c:v>
                </c:pt>
                <c:pt idx="50">
                  <c:v>63.57</c:v>
                </c:pt>
                <c:pt idx="51">
                  <c:v>63.55</c:v>
                </c:pt>
                <c:pt idx="52">
                  <c:v>63</c:v>
                </c:pt>
                <c:pt idx="53">
                  <c:v>62.7</c:v>
                </c:pt>
                <c:pt idx="54">
                  <c:v>62.69</c:v>
                </c:pt>
                <c:pt idx="55">
                  <c:v>62.83</c:v>
                </c:pt>
                <c:pt idx="56">
                  <c:v>62.47</c:v>
                </c:pt>
                <c:pt idx="57">
                  <c:v>63.274999999999999</c:v>
                </c:pt>
                <c:pt idx="58">
                  <c:v>63.72</c:v>
                </c:pt>
                <c:pt idx="59">
                  <c:v>64.05</c:v>
                </c:pt>
                <c:pt idx="60">
                  <c:v>64.02</c:v>
                </c:pt>
                <c:pt idx="61">
                  <c:v>64.959999999999994</c:v>
                </c:pt>
                <c:pt idx="62">
                  <c:v>64.31</c:v>
                </c:pt>
                <c:pt idx="63">
                  <c:v>64.319999999999993</c:v>
                </c:pt>
                <c:pt idx="64">
                  <c:v>64.239999999999995</c:v>
                </c:pt>
                <c:pt idx="65">
                  <c:v>63.15</c:v>
                </c:pt>
                <c:pt idx="66">
                  <c:v>62.7</c:v>
                </c:pt>
                <c:pt idx="67">
                  <c:v>61.9</c:v>
                </c:pt>
                <c:pt idx="68">
                  <c:v>61.85</c:v>
                </c:pt>
                <c:pt idx="69">
                  <c:v>62.49</c:v>
                </c:pt>
                <c:pt idx="70">
                  <c:v>63.11</c:v>
                </c:pt>
                <c:pt idx="71">
                  <c:v>63.05</c:v>
                </c:pt>
                <c:pt idx="72">
                  <c:v>63.68</c:v>
                </c:pt>
                <c:pt idx="73">
                  <c:v>63.99</c:v>
                </c:pt>
                <c:pt idx="74">
                  <c:v>63.91</c:v>
                </c:pt>
                <c:pt idx="75">
                  <c:v>64.290000000000006</c:v>
                </c:pt>
                <c:pt idx="76">
                  <c:v>64.42</c:v>
                </c:pt>
                <c:pt idx="77">
                  <c:v>64.64</c:v>
                </c:pt>
                <c:pt idx="78">
                  <c:v>65.08</c:v>
                </c:pt>
                <c:pt idx="79">
                  <c:v>65.47</c:v>
                </c:pt>
                <c:pt idx="80">
                  <c:v>65.81</c:v>
                </c:pt>
                <c:pt idx="81">
                  <c:v>65.510000000000005</c:v>
                </c:pt>
                <c:pt idx="82">
                  <c:v>66.290000000000006</c:v>
                </c:pt>
                <c:pt idx="83">
                  <c:v>66.959999999999994</c:v>
                </c:pt>
                <c:pt idx="84">
                  <c:v>67.069999999999993</c:v>
                </c:pt>
                <c:pt idx="85">
                  <c:v>67.650000000000006</c:v>
                </c:pt>
                <c:pt idx="86">
                  <c:v>66.989999999999995</c:v>
                </c:pt>
                <c:pt idx="87">
                  <c:v>69</c:v>
                </c:pt>
                <c:pt idx="88">
                  <c:v>70</c:v>
                </c:pt>
                <c:pt idx="89">
                  <c:v>69.87</c:v>
                </c:pt>
                <c:pt idx="90">
                  <c:v>70.63</c:v>
                </c:pt>
                <c:pt idx="91">
                  <c:v>70.09</c:v>
                </c:pt>
                <c:pt idx="92">
                  <c:v>70.459999999999994</c:v>
                </c:pt>
                <c:pt idx="93">
                  <c:v>69.569999999999993</c:v>
                </c:pt>
                <c:pt idx="94">
                  <c:v>69.459999999999994</c:v>
                </c:pt>
                <c:pt idx="95">
                  <c:v>69.83</c:v>
                </c:pt>
                <c:pt idx="96">
                  <c:v>69.19</c:v>
                </c:pt>
                <c:pt idx="97">
                  <c:v>69.040000000000006</c:v>
                </c:pt>
                <c:pt idx="98">
                  <c:v>70.05</c:v>
                </c:pt>
              </c:numCache>
            </c:numRef>
          </c:val>
          <c:smooth val="0"/>
          <c:extLst>
            <c:ext xmlns:c16="http://schemas.microsoft.com/office/drawing/2014/chart" uri="{C3380CC4-5D6E-409C-BE32-E72D297353CC}">
              <c16:uniqueId val="{00000001-3235-49BF-A6B7-4A97F88BFAD6}"/>
            </c:ext>
          </c:extLst>
        </c:ser>
        <c:dLbls>
          <c:showLegendKey val="0"/>
          <c:showVal val="0"/>
          <c:showCatName val="0"/>
          <c:showSerName val="0"/>
          <c:showPercent val="0"/>
          <c:showBubbleSize val="0"/>
        </c:dLbls>
        <c:smooth val="0"/>
        <c:axId val="816095600"/>
        <c:axId val="816101840"/>
      </c:lineChart>
      <c:catAx>
        <c:axId val="816095600"/>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816101840"/>
        <c:crosses val="autoZero"/>
        <c:auto val="1"/>
        <c:lblAlgn val="ctr"/>
        <c:lblOffset val="100"/>
        <c:noMultiLvlLbl val="0"/>
      </c:catAx>
      <c:valAx>
        <c:axId val="816101840"/>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OPEN</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0956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'pepsi dataset'!$H$1</c:f>
              <c:strCache>
                <c:ptCount val="1"/>
                <c:pt idx="0">
                  <c:v>HIGH VS LOW</c:v>
                </c:pt>
              </c:strCache>
            </c:strRef>
          </c:tx>
          <c:dPt>
            <c:idx val="0"/>
            <c:bubble3D val="0"/>
            <c:spPr>
              <a:solidFill>
                <a:schemeClr val="accent2">
                  <a:tint val="50000"/>
                </a:schemeClr>
              </a:solidFill>
              <a:ln w="19050">
                <a:solidFill>
                  <a:schemeClr val="lt1"/>
                </a:solidFill>
              </a:ln>
              <a:effectLst/>
            </c:spPr>
            <c:extLst>
              <c:ext xmlns:c16="http://schemas.microsoft.com/office/drawing/2014/chart" uri="{C3380CC4-5D6E-409C-BE32-E72D297353CC}">
                <c16:uniqueId val="{00000001-C4DC-4987-921F-55F30EBA339C}"/>
              </c:ext>
            </c:extLst>
          </c:dPt>
          <c:dPt>
            <c:idx val="1"/>
            <c:bubble3D val="0"/>
            <c:spPr>
              <a:solidFill>
                <a:schemeClr val="accent2">
                  <a:tint val="70000"/>
                </a:schemeClr>
              </a:solidFill>
              <a:ln w="19050">
                <a:solidFill>
                  <a:schemeClr val="lt1"/>
                </a:solidFill>
              </a:ln>
              <a:effectLst/>
            </c:spPr>
            <c:extLst>
              <c:ext xmlns:c16="http://schemas.microsoft.com/office/drawing/2014/chart" uri="{C3380CC4-5D6E-409C-BE32-E72D297353CC}">
                <c16:uniqueId val="{00000003-C4DC-4987-921F-55F30EBA339C}"/>
              </c:ext>
            </c:extLst>
          </c:dPt>
          <c:dPt>
            <c:idx val="2"/>
            <c:bubble3D val="0"/>
            <c:spPr>
              <a:solidFill>
                <a:schemeClr val="accent2">
                  <a:tint val="90000"/>
                </a:schemeClr>
              </a:solidFill>
              <a:ln w="19050">
                <a:solidFill>
                  <a:schemeClr val="lt1"/>
                </a:solidFill>
              </a:ln>
              <a:effectLst/>
            </c:spPr>
            <c:extLst>
              <c:ext xmlns:c16="http://schemas.microsoft.com/office/drawing/2014/chart" uri="{C3380CC4-5D6E-409C-BE32-E72D297353CC}">
                <c16:uniqueId val="{00000005-C4DC-4987-921F-55F30EBA339C}"/>
              </c:ext>
            </c:extLst>
          </c:dPt>
          <c:dPt>
            <c:idx val="3"/>
            <c:bubble3D val="0"/>
            <c:spPr>
              <a:solidFill>
                <a:schemeClr val="accent2">
                  <a:shade val="90000"/>
                </a:schemeClr>
              </a:solidFill>
              <a:ln w="19050">
                <a:solidFill>
                  <a:schemeClr val="lt1"/>
                </a:solidFill>
              </a:ln>
              <a:effectLst/>
            </c:spPr>
            <c:extLst>
              <c:ext xmlns:c16="http://schemas.microsoft.com/office/drawing/2014/chart" uri="{C3380CC4-5D6E-409C-BE32-E72D297353CC}">
                <c16:uniqueId val="{00000007-C4DC-4987-921F-55F30EBA339C}"/>
              </c:ext>
            </c:extLst>
          </c:dPt>
          <c:dPt>
            <c:idx val="4"/>
            <c:bubble3D val="0"/>
            <c:spPr>
              <a:solidFill>
                <a:schemeClr val="accent2">
                  <a:shade val="70000"/>
                </a:schemeClr>
              </a:solidFill>
              <a:ln w="19050">
                <a:solidFill>
                  <a:schemeClr val="lt1"/>
                </a:solidFill>
              </a:ln>
              <a:effectLst/>
            </c:spPr>
            <c:extLst>
              <c:ext xmlns:c16="http://schemas.microsoft.com/office/drawing/2014/chart" uri="{C3380CC4-5D6E-409C-BE32-E72D297353CC}">
                <c16:uniqueId val="{00000009-C4DC-4987-921F-55F30EBA339C}"/>
              </c:ext>
            </c:extLst>
          </c:dPt>
          <c:dPt>
            <c:idx val="5"/>
            <c:bubble3D val="0"/>
            <c:spPr>
              <a:solidFill>
                <a:schemeClr val="accent2">
                  <a:shade val="50000"/>
                </a:schemeClr>
              </a:solidFill>
              <a:ln w="19050">
                <a:solidFill>
                  <a:schemeClr val="lt1"/>
                </a:solidFill>
              </a:ln>
              <a:effectLst/>
            </c:spPr>
            <c:extLst>
              <c:ext xmlns:c16="http://schemas.microsoft.com/office/drawing/2014/chart" uri="{C3380CC4-5D6E-409C-BE32-E72D297353CC}">
                <c16:uniqueId val="{0000000B-C4DC-4987-921F-55F30EBA339C}"/>
              </c:ext>
            </c:extLst>
          </c:dPt>
          <c:cat>
            <c:strLit>
              <c:ptCount val="6"/>
              <c:pt idx="0">
                <c:v>1</c:v>
              </c:pt>
              <c:pt idx="1">
                <c:v>2</c:v>
              </c:pt>
              <c:pt idx="2">
                <c:v>3</c:v>
              </c:pt>
              <c:pt idx="3">
                <c:v>4</c:v>
              </c:pt>
              <c:pt idx="4">
                <c:v>5</c:v>
              </c:pt>
              <c:pt idx="5">
                <c:v>6</c:v>
              </c:pt>
              <c:extLst>
                <c:ext xmlns:c15="http://schemas.microsoft.com/office/drawing/2012/chart" uri="{02D57815-91ED-43cb-92C2-25804820EDAC}">
                  <c15:autoCat val="1"/>
                </c:ext>
              </c:extLst>
            </c:strLit>
          </c:cat>
          <c:val>
            <c:numRef>
              <c:f>'pepsi dataset'!$H$2:$H$7</c:f>
              <c:numCache>
                <c:formatCode>0</c:formatCode>
                <c:ptCount val="6"/>
                <c:pt idx="0">
                  <c:v>3.7700000000000102</c:v>
                </c:pt>
                <c:pt idx="1">
                  <c:v>1.4000000000000057</c:v>
                </c:pt>
                <c:pt idx="2">
                  <c:v>3.8499999999999943</c:v>
                </c:pt>
                <c:pt idx="3">
                  <c:v>2.6299999999999955</c:v>
                </c:pt>
                <c:pt idx="4">
                  <c:v>2.1099999999999852</c:v>
                </c:pt>
                <c:pt idx="5">
                  <c:v>4.0649999999999977</c:v>
                </c:pt>
              </c:numCache>
              <c:extLst/>
            </c:numRef>
          </c:val>
          <c:extLst>
            <c:ext xmlns:c16="http://schemas.microsoft.com/office/drawing/2014/chart" uri="{C3380CC4-5D6E-409C-BE32-E72D297353CC}">
              <c16:uniqueId val="{0000000C-C4DC-4987-921F-55F30EBA339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'cocola dataset'!$H$1</c:f>
              <c:strCache>
                <c:ptCount val="1"/>
                <c:pt idx="0">
                  <c:v>High vs Low</c:v>
                </c:pt>
              </c:strCache>
            </c:strRef>
          </c:tx>
          <c:dPt>
            <c:idx val="0"/>
            <c:bubble3D val="0"/>
            <c:spPr>
              <a:solidFill>
                <a:schemeClr val="accent4">
                  <a:shade val="76000"/>
                </a:schemeClr>
              </a:solidFill>
              <a:ln w="19050">
                <a:solidFill>
                  <a:schemeClr val="lt1"/>
                </a:solidFill>
              </a:ln>
              <a:effectLst/>
            </c:spPr>
            <c:extLst>
              <c:ext xmlns:c16="http://schemas.microsoft.com/office/drawing/2014/chart" uri="{C3380CC4-5D6E-409C-BE32-E72D297353CC}">
                <c16:uniqueId val="{00000001-E8AD-48F7-A420-AA24A63C017E}"/>
              </c:ext>
            </c:extLst>
          </c:dPt>
          <c:dPt>
            <c:idx val="1"/>
            <c:bubble3D val="0"/>
            <c:spPr>
              <a:solidFill>
                <a:schemeClr val="accent4">
                  <a:tint val="77000"/>
                </a:schemeClr>
              </a:solidFill>
              <a:ln w="19050">
                <a:solidFill>
                  <a:schemeClr val="lt1"/>
                </a:solidFill>
              </a:ln>
              <a:effectLst/>
            </c:spPr>
            <c:extLst>
              <c:ext xmlns:c16="http://schemas.microsoft.com/office/drawing/2014/chart" uri="{C3380CC4-5D6E-409C-BE32-E72D297353CC}">
                <c16:uniqueId val="{00000003-E8AD-48F7-A420-AA24A63C017E}"/>
              </c:ext>
            </c:extLst>
          </c:dPt>
          <c:cat>
            <c:strLit>
              <c:ptCount val="2"/>
              <c:pt idx="0">
                <c:v>1</c:v>
              </c:pt>
              <c:pt idx="1">
                <c:v>2</c:v>
              </c:pt>
              <c:extLst>
                <c:ext xmlns:c15="http://schemas.microsoft.com/office/drawing/2012/chart" uri="{02D57815-91ED-43cb-92C2-25804820EDAC}">
                  <c15:autoCat val="1"/>
                </c:ext>
              </c:extLst>
            </c:strLit>
          </c:cat>
          <c:val>
            <c:numRef>
              <c:f>'cocola dataset'!$H$2:$H$3</c:f>
              <c:numCache>
                <c:formatCode>_ * #,##0_ ;_ * \-#,##0_ ;_ * "-"??_ ;_ @_ </c:formatCode>
                <c:ptCount val="2"/>
                <c:pt idx="0">
                  <c:v>1.0099999999999909</c:v>
                </c:pt>
                <c:pt idx="1">
                  <c:v>1.1149999999999949</c:v>
                </c:pt>
              </c:numCache>
              <c:extLst/>
            </c:numRef>
          </c:val>
          <c:extLst>
            <c:ext xmlns:c16="http://schemas.microsoft.com/office/drawing/2014/chart" uri="{C3380CC4-5D6E-409C-BE32-E72D297353CC}">
              <c16:uniqueId val="{00000004-E8AD-48F7-A420-AA24A63C017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a:t>
            </a:r>
            <a:r>
              <a:rPr lang="en-IN"/>
              <a:t>Trading Volume Analysis</a:t>
            </a:r>
            <a:r>
              <a:rPr lang="en-US"/>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areaChart>
        <c:grouping val="stacked"/>
        <c:varyColors val="0"/>
        <c:ser>
          <c:idx val="4"/>
          <c:order val="0"/>
          <c:tx>
            <c:strRef>
              <c:f>'pepsi dataset'!$F$1</c:f>
              <c:strCache>
                <c:ptCount val="1"/>
                <c:pt idx="0">
                  <c:v>Volume</c:v>
                </c:pt>
              </c:strCache>
            </c:strRef>
          </c:tx>
          <c:spPr>
            <a:solidFill>
              <a:schemeClr val="accent2">
                <a:shade val="53000"/>
              </a:schemeClr>
            </a:solidFill>
            <a:ln>
              <a:noFill/>
            </a:ln>
            <a:effectLst/>
          </c:spPr>
          <c:cat>
            <c:strRef>
              <c:f>'pepsi dataset'!$A$2:$A$100</c:f>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f>'pepsi dataset'!$F$2:$F$100</c:f>
              <c:numCache>
                <c:formatCode>General</c:formatCode>
                <c:ptCount val="99"/>
                <c:pt idx="0">
                  <c:v>8455499</c:v>
                </c:pt>
                <c:pt idx="1">
                  <c:v>6730985</c:v>
                </c:pt>
                <c:pt idx="2">
                  <c:v>9076519</c:v>
                </c:pt>
                <c:pt idx="3">
                  <c:v>9474619</c:v>
                </c:pt>
                <c:pt idx="4">
                  <c:v>7187038</c:v>
                </c:pt>
                <c:pt idx="5">
                  <c:v>10604400</c:v>
                </c:pt>
                <c:pt idx="6">
                  <c:v>6789805</c:v>
                </c:pt>
                <c:pt idx="7">
                  <c:v>5777273</c:v>
                </c:pt>
                <c:pt idx="8">
                  <c:v>8738725</c:v>
                </c:pt>
                <c:pt idx="9">
                  <c:v>5001806</c:v>
                </c:pt>
                <c:pt idx="10">
                  <c:v>7175276</c:v>
                </c:pt>
                <c:pt idx="11">
                  <c:v>6658177</c:v>
                </c:pt>
                <c:pt idx="12">
                  <c:v>6353965</c:v>
                </c:pt>
                <c:pt idx="13">
                  <c:v>8715391</c:v>
                </c:pt>
                <c:pt idx="14">
                  <c:v>5872343</c:v>
                </c:pt>
                <c:pt idx="15">
                  <c:v>5604877</c:v>
                </c:pt>
                <c:pt idx="16">
                  <c:v>9249234</c:v>
                </c:pt>
                <c:pt idx="17">
                  <c:v>12804950</c:v>
                </c:pt>
                <c:pt idx="18">
                  <c:v>7196227</c:v>
                </c:pt>
                <c:pt idx="19">
                  <c:v>4906744</c:v>
                </c:pt>
                <c:pt idx="20">
                  <c:v>4671278</c:v>
                </c:pt>
                <c:pt idx="21">
                  <c:v>4874072</c:v>
                </c:pt>
                <c:pt idx="22">
                  <c:v>6349670</c:v>
                </c:pt>
                <c:pt idx="23">
                  <c:v>9820585</c:v>
                </c:pt>
                <c:pt idx="24">
                  <c:v>4509550</c:v>
                </c:pt>
                <c:pt idx="25">
                  <c:v>4759125</c:v>
                </c:pt>
                <c:pt idx="26">
                  <c:v>5905060</c:v>
                </c:pt>
                <c:pt idx="27">
                  <c:v>7456182</c:v>
                </c:pt>
                <c:pt idx="28">
                  <c:v>7338870</c:v>
                </c:pt>
                <c:pt idx="29">
                  <c:v>5068040</c:v>
                </c:pt>
                <c:pt idx="30">
                  <c:v>7141555</c:v>
                </c:pt>
                <c:pt idx="31">
                  <c:v>6996448</c:v>
                </c:pt>
                <c:pt idx="32">
                  <c:v>8101358</c:v>
                </c:pt>
                <c:pt idx="33">
                  <c:v>9632651</c:v>
                </c:pt>
                <c:pt idx="34">
                  <c:v>6791848</c:v>
                </c:pt>
                <c:pt idx="35">
                  <c:v>7473300</c:v>
                </c:pt>
                <c:pt idx="36">
                  <c:v>9470626</c:v>
                </c:pt>
                <c:pt idx="37">
                  <c:v>5221639</c:v>
                </c:pt>
                <c:pt idx="38">
                  <c:v>4970233</c:v>
                </c:pt>
                <c:pt idx="39">
                  <c:v>4274960</c:v>
                </c:pt>
                <c:pt idx="40">
                  <c:v>5397016</c:v>
                </c:pt>
                <c:pt idx="41">
                  <c:v>4287007</c:v>
                </c:pt>
                <c:pt idx="42">
                  <c:v>5529590</c:v>
                </c:pt>
                <c:pt idx="43">
                  <c:v>3399800</c:v>
                </c:pt>
                <c:pt idx="44">
                  <c:v>6822232</c:v>
                </c:pt>
                <c:pt idx="45">
                  <c:v>19205160</c:v>
                </c:pt>
                <c:pt idx="46">
                  <c:v>9829489</c:v>
                </c:pt>
                <c:pt idx="47">
                  <c:v>7620865</c:v>
                </c:pt>
                <c:pt idx="48">
                  <c:v>6572560</c:v>
                </c:pt>
                <c:pt idx="49">
                  <c:v>6696490</c:v>
                </c:pt>
                <c:pt idx="50">
                  <c:v>4353854</c:v>
                </c:pt>
                <c:pt idx="51">
                  <c:v>6849507</c:v>
                </c:pt>
                <c:pt idx="52">
                  <c:v>7925928</c:v>
                </c:pt>
                <c:pt idx="53">
                  <c:v>5329401</c:v>
                </c:pt>
                <c:pt idx="54">
                  <c:v>8380406</c:v>
                </c:pt>
                <c:pt idx="55">
                  <c:v>8359166</c:v>
                </c:pt>
                <c:pt idx="56">
                  <c:v>5229646</c:v>
                </c:pt>
                <c:pt idx="57">
                  <c:v>6964605</c:v>
                </c:pt>
                <c:pt idx="58">
                  <c:v>4277392</c:v>
                </c:pt>
                <c:pt idx="59">
                  <c:v>4967612</c:v>
                </c:pt>
                <c:pt idx="60">
                  <c:v>2799312</c:v>
                </c:pt>
                <c:pt idx="61">
                  <c:v>3622893</c:v>
                </c:pt>
                <c:pt idx="62">
                  <c:v>4653842</c:v>
                </c:pt>
                <c:pt idx="63">
                  <c:v>8580393</c:v>
                </c:pt>
                <c:pt idx="64">
                  <c:v>5846256</c:v>
                </c:pt>
                <c:pt idx="65">
                  <c:v>5976987</c:v>
                </c:pt>
                <c:pt idx="66">
                  <c:v>5067255</c:v>
                </c:pt>
                <c:pt idx="67">
                  <c:v>8248864</c:v>
                </c:pt>
                <c:pt idx="68">
                  <c:v>6992040</c:v>
                </c:pt>
                <c:pt idx="69">
                  <c:v>9108948</c:v>
                </c:pt>
                <c:pt idx="70">
                  <c:v>5422685</c:v>
                </c:pt>
                <c:pt idx="71">
                  <c:v>4145443</c:v>
                </c:pt>
                <c:pt idx="72">
                  <c:v>5386925</c:v>
                </c:pt>
                <c:pt idx="73">
                  <c:v>3761969</c:v>
                </c:pt>
                <c:pt idx="74">
                  <c:v>4618265</c:v>
                </c:pt>
                <c:pt idx="75">
                  <c:v>5333532</c:v>
                </c:pt>
                <c:pt idx="76">
                  <c:v>7849309</c:v>
                </c:pt>
                <c:pt idx="77">
                  <c:v>3678708</c:v>
                </c:pt>
                <c:pt idx="78">
                  <c:v>4885472</c:v>
                </c:pt>
                <c:pt idx="79">
                  <c:v>6339121</c:v>
                </c:pt>
                <c:pt idx="80">
                  <c:v>5582423</c:v>
                </c:pt>
                <c:pt idx="81">
                  <c:v>4801541</c:v>
                </c:pt>
                <c:pt idx="82">
                  <c:v>5127890</c:v>
                </c:pt>
                <c:pt idx="83">
                  <c:v>5186635</c:v>
                </c:pt>
                <c:pt idx="84">
                  <c:v>4442863</c:v>
                </c:pt>
                <c:pt idx="85">
                  <c:v>4244903</c:v>
                </c:pt>
                <c:pt idx="86">
                  <c:v>3800654</c:v>
                </c:pt>
                <c:pt idx="87">
                  <c:v>3790452</c:v>
                </c:pt>
                <c:pt idx="88">
                  <c:v>6436516</c:v>
                </c:pt>
                <c:pt idx="89">
                  <c:v>5097170</c:v>
                </c:pt>
                <c:pt idx="90">
                  <c:v>4125910</c:v>
                </c:pt>
                <c:pt idx="91">
                  <c:v>4400852</c:v>
                </c:pt>
                <c:pt idx="92">
                  <c:v>5802290</c:v>
                </c:pt>
                <c:pt idx="93">
                  <c:v>4536048</c:v>
                </c:pt>
                <c:pt idx="94">
                  <c:v>4720299</c:v>
                </c:pt>
                <c:pt idx="95">
                  <c:v>5292404</c:v>
                </c:pt>
                <c:pt idx="96">
                  <c:v>7177529</c:v>
                </c:pt>
                <c:pt idx="97">
                  <c:v>8297792</c:v>
                </c:pt>
                <c:pt idx="98">
                  <c:v>5459506</c:v>
                </c:pt>
              </c:numCache>
            </c:numRef>
          </c:val>
          <c:extLst>
            <c:ext xmlns:c16="http://schemas.microsoft.com/office/drawing/2014/chart" uri="{C3380CC4-5D6E-409C-BE32-E72D297353CC}">
              <c16:uniqueId val="{00000000-5C24-4380-883D-7D0C35EFCE07}"/>
            </c:ext>
          </c:extLst>
        </c:ser>
        <c:dLbls>
          <c:showLegendKey val="0"/>
          <c:showVal val="0"/>
          <c:showCatName val="0"/>
          <c:showSerName val="0"/>
          <c:showPercent val="0"/>
          <c:showBubbleSize val="0"/>
        </c:dLbls>
        <c:axId val="1053074239"/>
        <c:axId val="1053091039"/>
        <c:extLst/>
      </c:areaChart>
      <c:catAx>
        <c:axId val="10530742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3091039"/>
        <c:crosses val="autoZero"/>
        <c:auto val="1"/>
        <c:lblAlgn val="ctr"/>
        <c:lblOffset val="100"/>
        <c:noMultiLvlLbl val="0"/>
      </c:catAx>
      <c:valAx>
        <c:axId val="105309103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VOLUME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3074239"/>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400" b="1" i="0" u="none" strike="noStrike" baseline="0">
                <a:solidFill>
                  <a:schemeClr val="tx1">
                    <a:lumMod val="65000"/>
                    <a:lumOff val="35000"/>
                  </a:schemeClr>
                </a:solidFill>
                <a:latin typeface="+mn-lt"/>
                <a:ea typeface="+mn-ea"/>
                <a:cs typeface="+mn-cs"/>
              </a:defRPr>
            </a:pPr>
            <a:r>
              <a:rPr lang="en-US" sz="1400" b="1" i="0" u="none" strike="noStrike" baseline="0">
                <a:solidFill>
                  <a:sysClr val="windowText" lastClr="000000">
                    <a:lumMod val="65000"/>
                    <a:lumOff val="35000"/>
                  </a:sysClr>
                </a:solidFill>
                <a:latin typeface="Calibri" panose="020F0502020204030204"/>
              </a:rPr>
              <a:t> </a:t>
            </a:r>
            <a:r>
              <a:rPr lang="en-IN" sz="1400" b="1" i="0" u="none" strike="noStrike" baseline="0"/>
              <a:t>Trading Volume Analysis</a:t>
            </a:r>
            <a:r>
              <a:rPr lang="en-US" sz="1400" b="1" i="0" u="none" strike="noStrike" baseline="0">
                <a:solidFill>
                  <a:sysClr val="windowText" lastClr="000000">
                    <a:lumMod val="65000"/>
                    <a:lumOff val="35000"/>
                  </a:sysClr>
                </a:solidFill>
                <a:latin typeface="Calibri" panose="020F0502020204030204"/>
              </a:rPr>
              <a:t> </a:t>
            </a:r>
          </a:p>
        </c:rich>
      </c:tx>
      <c:overlay val="0"/>
      <c:spPr>
        <a:noFill/>
        <a:ln>
          <a:noFill/>
        </a:ln>
        <a:effectLst/>
      </c:spPr>
      <c:txPr>
        <a:bodyPr rot="0" spcFirstLastPara="1" vertOverflow="ellipsis" vert="horz" wrap="square" anchor="ctr" anchorCtr="1"/>
        <a:lstStyle/>
        <a:p>
          <a:pPr>
            <a:defRPr sz="1400" b="1" i="0" u="none" strike="noStrike"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'cocola dataset'!$F$1</c:f>
              <c:strCache>
                <c:ptCount val="1"/>
                <c:pt idx="0">
                  <c:v> Volume </c:v>
                </c:pt>
              </c:strCache>
            </c:strRef>
          </c:tx>
          <c:spPr>
            <a:solidFill>
              <a:schemeClr val="accent4"/>
            </a:solidFill>
            <a:ln>
              <a:noFill/>
            </a:ln>
            <a:effectLst/>
          </c:spPr>
          <c:invertIfNegative val="0"/>
          <c:cat>
            <c:strRef>
              <c:f>'cocola dataset'!$A$2:$A$100</c:f>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f>'cocola dataset'!$F$2:$F$100</c:f>
              <c:numCache>
                <c:formatCode>_(* #,##0.00_);_(* \(#,##0.00\);_(* "-"??_);_(@_)</c:formatCode>
                <c:ptCount val="99"/>
                <c:pt idx="0">
                  <c:v>22167380</c:v>
                </c:pt>
                <c:pt idx="1">
                  <c:v>16789480</c:v>
                </c:pt>
                <c:pt idx="2">
                  <c:v>14531180</c:v>
                </c:pt>
                <c:pt idx="3">
                  <c:v>21555590</c:v>
                </c:pt>
                <c:pt idx="4">
                  <c:v>21418440</c:v>
                </c:pt>
                <c:pt idx="5">
                  <c:v>21662250</c:v>
                </c:pt>
                <c:pt idx="6">
                  <c:v>13398010</c:v>
                </c:pt>
                <c:pt idx="7">
                  <c:v>16032270</c:v>
                </c:pt>
                <c:pt idx="8">
                  <c:v>15569120</c:v>
                </c:pt>
                <c:pt idx="9">
                  <c:v>20779090</c:v>
                </c:pt>
                <c:pt idx="10">
                  <c:v>24393150</c:v>
                </c:pt>
                <c:pt idx="11">
                  <c:v>26033760</c:v>
                </c:pt>
                <c:pt idx="12">
                  <c:v>30589150</c:v>
                </c:pt>
                <c:pt idx="13">
                  <c:v>16154300</c:v>
                </c:pt>
                <c:pt idx="14">
                  <c:v>13184670</c:v>
                </c:pt>
                <c:pt idx="15">
                  <c:v>13423410</c:v>
                </c:pt>
                <c:pt idx="16">
                  <c:v>10686750</c:v>
                </c:pt>
                <c:pt idx="17">
                  <c:v>15678000</c:v>
                </c:pt>
                <c:pt idx="18">
                  <c:v>12067880</c:v>
                </c:pt>
                <c:pt idx="19">
                  <c:v>12102060</c:v>
                </c:pt>
                <c:pt idx="20">
                  <c:v>13200980</c:v>
                </c:pt>
                <c:pt idx="21">
                  <c:v>11325640</c:v>
                </c:pt>
                <c:pt idx="22">
                  <c:v>14956030</c:v>
                </c:pt>
                <c:pt idx="23">
                  <c:v>20742920</c:v>
                </c:pt>
                <c:pt idx="24">
                  <c:v>19244600</c:v>
                </c:pt>
                <c:pt idx="25">
                  <c:v>16528420</c:v>
                </c:pt>
                <c:pt idx="26">
                  <c:v>18191890</c:v>
                </c:pt>
                <c:pt idx="27">
                  <c:v>19817070</c:v>
                </c:pt>
                <c:pt idx="28">
                  <c:v>17948870</c:v>
                </c:pt>
                <c:pt idx="29">
                  <c:v>12585530</c:v>
                </c:pt>
                <c:pt idx="30">
                  <c:v>16187200</c:v>
                </c:pt>
                <c:pt idx="31">
                  <c:v>16658290</c:v>
                </c:pt>
                <c:pt idx="32">
                  <c:v>18016170</c:v>
                </c:pt>
                <c:pt idx="33">
                  <c:v>22424950</c:v>
                </c:pt>
                <c:pt idx="34">
                  <c:v>14412400</c:v>
                </c:pt>
                <c:pt idx="35">
                  <c:v>17799630</c:v>
                </c:pt>
                <c:pt idx="36">
                  <c:v>17924240</c:v>
                </c:pt>
                <c:pt idx="37">
                  <c:v>10403200</c:v>
                </c:pt>
                <c:pt idx="38">
                  <c:v>12990980</c:v>
                </c:pt>
                <c:pt idx="39">
                  <c:v>9256664</c:v>
                </c:pt>
                <c:pt idx="40">
                  <c:v>8972212</c:v>
                </c:pt>
                <c:pt idx="41">
                  <c:v>8542773</c:v>
                </c:pt>
                <c:pt idx="42">
                  <c:v>7945641</c:v>
                </c:pt>
                <c:pt idx="43">
                  <c:v>5019131</c:v>
                </c:pt>
                <c:pt idx="44">
                  <c:v>13010760</c:v>
                </c:pt>
                <c:pt idx="45">
                  <c:v>42458100</c:v>
                </c:pt>
                <c:pt idx="46">
                  <c:v>21300650</c:v>
                </c:pt>
                <c:pt idx="47">
                  <c:v>20946090</c:v>
                </c:pt>
                <c:pt idx="48">
                  <c:v>21902380</c:v>
                </c:pt>
                <c:pt idx="49">
                  <c:v>24559740</c:v>
                </c:pt>
                <c:pt idx="50">
                  <c:v>13429030</c:v>
                </c:pt>
                <c:pt idx="51">
                  <c:v>17542090</c:v>
                </c:pt>
                <c:pt idx="52">
                  <c:v>32819010</c:v>
                </c:pt>
                <c:pt idx="53">
                  <c:v>14949420</c:v>
                </c:pt>
                <c:pt idx="54">
                  <c:v>22348330</c:v>
                </c:pt>
                <c:pt idx="55">
                  <c:v>15581150</c:v>
                </c:pt>
                <c:pt idx="56">
                  <c:v>21040360</c:v>
                </c:pt>
                <c:pt idx="57">
                  <c:v>28137660</c:v>
                </c:pt>
                <c:pt idx="58">
                  <c:v>24874490</c:v>
                </c:pt>
                <c:pt idx="59">
                  <c:v>16500100</c:v>
                </c:pt>
                <c:pt idx="60">
                  <c:v>10648350</c:v>
                </c:pt>
                <c:pt idx="61">
                  <c:v>13263400</c:v>
                </c:pt>
                <c:pt idx="62">
                  <c:v>14473270</c:v>
                </c:pt>
                <c:pt idx="63">
                  <c:v>36805250</c:v>
                </c:pt>
                <c:pt idx="64">
                  <c:v>19562230</c:v>
                </c:pt>
                <c:pt idx="65">
                  <c:v>17292300</c:v>
                </c:pt>
                <c:pt idx="66">
                  <c:v>18904910</c:v>
                </c:pt>
                <c:pt idx="67">
                  <c:v>16254830</c:v>
                </c:pt>
                <c:pt idx="68">
                  <c:v>16079360</c:v>
                </c:pt>
                <c:pt idx="69">
                  <c:v>26284330</c:v>
                </c:pt>
                <c:pt idx="70">
                  <c:v>15910820</c:v>
                </c:pt>
                <c:pt idx="71">
                  <c:v>13177640</c:v>
                </c:pt>
                <c:pt idx="72">
                  <c:v>15020980</c:v>
                </c:pt>
                <c:pt idx="73">
                  <c:v>13980870</c:v>
                </c:pt>
                <c:pt idx="74">
                  <c:v>14719310</c:v>
                </c:pt>
                <c:pt idx="75">
                  <c:v>14856050</c:v>
                </c:pt>
                <c:pt idx="76">
                  <c:v>22899260</c:v>
                </c:pt>
                <c:pt idx="77">
                  <c:v>8780220</c:v>
                </c:pt>
                <c:pt idx="78">
                  <c:v>10984500</c:v>
                </c:pt>
                <c:pt idx="79">
                  <c:v>12163090</c:v>
                </c:pt>
                <c:pt idx="80">
                  <c:v>13383720</c:v>
                </c:pt>
                <c:pt idx="81">
                  <c:v>14177770</c:v>
                </c:pt>
                <c:pt idx="82">
                  <c:v>16525920</c:v>
                </c:pt>
                <c:pt idx="83">
                  <c:v>10761420</c:v>
                </c:pt>
                <c:pt idx="84">
                  <c:v>11138130</c:v>
                </c:pt>
                <c:pt idx="85">
                  <c:v>17568830</c:v>
                </c:pt>
                <c:pt idx="86">
                  <c:v>24655200</c:v>
                </c:pt>
                <c:pt idx="87">
                  <c:v>18603250</c:v>
                </c:pt>
                <c:pt idx="88">
                  <c:v>11981160</c:v>
                </c:pt>
                <c:pt idx="89">
                  <c:v>15087520</c:v>
                </c:pt>
                <c:pt idx="90">
                  <c:v>14674630</c:v>
                </c:pt>
                <c:pt idx="91">
                  <c:v>7937347</c:v>
                </c:pt>
                <c:pt idx="92">
                  <c:v>10358730</c:v>
                </c:pt>
                <c:pt idx="93">
                  <c:v>7659318</c:v>
                </c:pt>
                <c:pt idx="94">
                  <c:v>8786318</c:v>
                </c:pt>
                <c:pt idx="95">
                  <c:v>8635150</c:v>
                </c:pt>
                <c:pt idx="96">
                  <c:v>9037735</c:v>
                </c:pt>
                <c:pt idx="97">
                  <c:v>13549700</c:v>
                </c:pt>
                <c:pt idx="98">
                  <c:v>14511960</c:v>
                </c:pt>
              </c:numCache>
            </c:numRef>
          </c:val>
          <c:extLst>
            <c:ext xmlns:c16="http://schemas.microsoft.com/office/drawing/2014/chart" uri="{C3380CC4-5D6E-409C-BE32-E72D297353CC}">
              <c16:uniqueId val="{00000000-0DF5-462E-9715-6D8B2218C96C}"/>
            </c:ext>
          </c:extLst>
        </c:ser>
        <c:dLbls>
          <c:showLegendKey val="0"/>
          <c:showVal val="0"/>
          <c:showCatName val="0"/>
          <c:showSerName val="0"/>
          <c:showPercent val="0"/>
          <c:showBubbleSize val="0"/>
        </c:dLbls>
        <c:gapWidth val="0"/>
        <c:axId val="1053131359"/>
        <c:axId val="1053130879"/>
      </c:barChart>
      <c:catAx>
        <c:axId val="1053131359"/>
        <c:scaling>
          <c:orientation val="minMax"/>
        </c:scaling>
        <c:delete val="0"/>
        <c:axPos val="b"/>
        <c:title>
          <c:tx>
            <c:rich>
              <a:bodyPr rot="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n-US"/>
          </a:p>
        </c:txPr>
        <c:crossAx val="1053130879"/>
        <c:crosses val="autoZero"/>
        <c:auto val="1"/>
        <c:lblAlgn val="ctr"/>
        <c:lblOffset val="100"/>
        <c:noMultiLvlLbl val="0"/>
      </c:catAx>
      <c:valAx>
        <c:axId val="1053130879"/>
        <c:scaling>
          <c:orientation val="minMax"/>
        </c:scaling>
        <c:delete val="0"/>
        <c:axPos val="l"/>
        <c:title>
          <c:tx>
            <c:rich>
              <a:bodyPr rot="-54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r>
                  <a:rPr lang="en-IN"/>
                  <a:t>VOLUME</a:t>
                </a:r>
              </a:p>
            </c:rich>
          </c:tx>
          <c:overlay val="0"/>
          <c:spPr>
            <a:noFill/>
            <a:ln>
              <a:noFill/>
            </a:ln>
            <a:effectLst/>
          </c:spPr>
          <c:txPr>
            <a:bodyPr rot="-54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n-US"/>
            </a:p>
          </c:txPr>
        </c:title>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n-US"/>
          </a:p>
        </c:txPr>
        <c:crossAx val="105313135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kern="1200" spc="0" baseline="0">
                <a:solidFill>
                  <a:sysClr val="windowText" lastClr="000000">
                    <a:lumMod val="65000"/>
                    <a:lumOff val="35000"/>
                  </a:sysClr>
                </a:solidFill>
              </a:rPr>
              <a:t>Moving Average Trend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3"/>
          <c:order val="3"/>
          <c:tx>
            <c:strRef>
              <c:f>'pepsi dataset'!$E$1</c:f>
              <c:strCache>
                <c:ptCount val="1"/>
                <c:pt idx="0">
                  <c:v>Close/Last</c:v>
                </c:pt>
              </c:strCache>
            </c:strRef>
          </c:tx>
          <c:spPr>
            <a:solidFill>
              <a:schemeClr val="accent2">
                <a:tint val="81000"/>
              </a:schemeClr>
            </a:solidFill>
            <a:ln>
              <a:noFill/>
            </a:ln>
            <a:effectLst/>
          </c:spPr>
          <c:invertIfNegative val="0"/>
          <c:cat>
            <c:strRef>
              <c:f>'pepsi dataset'!$A$2:$A$100</c:f>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f>'pepsi dataset'!$E$2:$E$100</c:f>
              <c:numCache>
                <c:formatCode>General</c:formatCode>
                <c:ptCount val="99"/>
                <c:pt idx="0">
                  <c:v>153.47</c:v>
                </c:pt>
                <c:pt idx="1">
                  <c:v>152.02000000000001</c:v>
                </c:pt>
                <c:pt idx="2">
                  <c:v>151.51</c:v>
                </c:pt>
                <c:pt idx="3">
                  <c:v>156.41999999999999</c:v>
                </c:pt>
                <c:pt idx="4">
                  <c:v>153.85</c:v>
                </c:pt>
                <c:pt idx="5">
                  <c:v>153.5</c:v>
                </c:pt>
                <c:pt idx="6">
                  <c:v>149.1</c:v>
                </c:pt>
                <c:pt idx="7">
                  <c:v>145.81</c:v>
                </c:pt>
                <c:pt idx="8">
                  <c:v>144.1</c:v>
                </c:pt>
                <c:pt idx="9">
                  <c:v>143.38999999999999</c:v>
                </c:pt>
                <c:pt idx="10">
                  <c:v>144.58000000000001</c:v>
                </c:pt>
                <c:pt idx="11">
                  <c:v>143.99</c:v>
                </c:pt>
                <c:pt idx="12">
                  <c:v>145.63999999999999</c:v>
                </c:pt>
                <c:pt idx="13">
                  <c:v>144.35</c:v>
                </c:pt>
                <c:pt idx="14">
                  <c:v>144.58000000000001</c:v>
                </c:pt>
                <c:pt idx="15">
                  <c:v>145.35</c:v>
                </c:pt>
                <c:pt idx="16">
                  <c:v>145.66</c:v>
                </c:pt>
                <c:pt idx="17">
                  <c:v>143.49</c:v>
                </c:pt>
                <c:pt idx="18">
                  <c:v>150.27000000000001</c:v>
                </c:pt>
                <c:pt idx="19">
                  <c:v>150.69</c:v>
                </c:pt>
                <c:pt idx="20">
                  <c:v>151.9</c:v>
                </c:pt>
                <c:pt idx="21">
                  <c:v>150.37</c:v>
                </c:pt>
                <c:pt idx="22">
                  <c:v>150.25</c:v>
                </c:pt>
                <c:pt idx="23">
                  <c:v>154.61000000000001</c:v>
                </c:pt>
                <c:pt idx="24">
                  <c:v>149.12</c:v>
                </c:pt>
                <c:pt idx="25">
                  <c:v>148.62</c:v>
                </c:pt>
                <c:pt idx="26">
                  <c:v>148.09</c:v>
                </c:pt>
                <c:pt idx="27">
                  <c:v>148.55000000000001</c:v>
                </c:pt>
                <c:pt idx="28">
                  <c:v>148.25</c:v>
                </c:pt>
                <c:pt idx="29">
                  <c:v>146.54</c:v>
                </c:pt>
                <c:pt idx="30">
                  <c:v>144.78</c:v>
                </c:pt>
                <c:pt idx="31">
                  <c:v>144.94999999999999</c:v>
                </c:pt>
                <c:pt idx="32">
                  <c:v>144.5</c:v>
                </c:pt>
                <c:pt idx="33">
                  <c:v>142.63999999999999</c:v>
                </c:pt>
                <c:pt idx="34">
                  <c:v>146.54</c:v>
                </c:pt>
                <c:pt idx="35">
                  <c:v>145.4</c:v>
                </c:pt>
                <c:pt idx="36">
                  <c:v>146.27000000000001</c:v>
                </c:pt>
                <c:pt idx="37">
                  <c:v>149.65</c:v>
                </c:pt>
                <c:pt idx="38">
                  <c:v>150.21</c:v>
                </c:pt>
                <c:pt idx="39">
                  <c:v>152.06</c:v>
                </c:pt>
                <c:pt idx="40">
                  <c:v>151.72</c:v>
                </c:pt>
                <c:pt idx="41">
                  <c:v>152.88999999999999</c:v>
                </c:pt>
                <c:pt idx="42">
                  <c:v>152.44</c:v>
                </c:pt>
                <c:pt idx="43">
                  <c:v>152.81</c:v>
                </c:pt>
                <c:pt idx="44">
                  <c:v>151.29</c:v>
                </c:pt>
                <c:pt idx="45">
                  <c:v>152.79</c:v>
                </c:pt>
                <c:pt idx="46">
                  <c:v>151.47</c:v>
                </c:pt>
                <c:pt idx="47">
                  <c:v>154.43</c:v>
                </c:pt>
                <c:pt idx="48">
                  <c:v>156.13999999999999</c:v>
                </c:pt>
                <c:pt idx="49">
                  <c:v>156.02000000000001</c:v>
                </c:pt>
                <c:pt idx="50">
                  <c:v>157.97</c:v>
                </c:pt>
                <c:pt idx="51">
                  <c:v>158.9</c:v>
                </c:pt>
                <c:pt idx="52">
                  <c:v>156.77000000000001</c:v>
                </c:pt>
                <c:pt idx="53">
                  <c:v>159.84</c:v>
                </c:pt>
                <c:pt idx="54">
                  <c:v>159.47</c:v>
                </c:pt>
                <c:pt idx="55">
                  <c:v>157.79</c:v>
                </c:pt>
                <c:pt idx="56">
                  <c:v>160.49</c:v>
                </c:pt>
                <c:pt idx="57">
                  <c:v>160.18</c:v>
                </c:pt>
                <c:pt idx="58">
                  <c:v>161.69999999999999</c:v>
                </c:pt>
                <c:pt idx="59">
                  <c:v>163.05000000000001</c:v>
                </c:pt>
                <c:pt idx="60">
                  <c:v>163.44999999999999</c:v>
                </c:pt>
                <c:pt idx="61">
                  <c:v>162.72</c:v>
                </c:pt>
                <c:pt idx="62">
                  <c:v>162.16</c:v>
                </c:pt>
                <c:pt idx="63">
                  <c:v>163.05000000000001</c:v>
                </c:pt>
                <c:pt idx="64">
                  <c:v>162</c:v>
                </c:pt>
                <c:pt idx="65">
                  <c:v>160.34</c:v>
                </c:pt>
                <c:pt idx="66">
                  <c:v>158.74</c:v>
                </c:pt>
                <c:pt idx="67">
                  <c:v>156.72</c:v>
                </c:pt>
                <c:pt idx="68">
                  <c:v>158.33000000000001</c:v>
                </c:pt>
                <c:pt idx="69">
                  <c:v>158.62</c:v>
                </c:pt>
                <c:pt idx="70">
                  <c:v>165.15</c:v>
                </c:pt>
                <c:pt idx="71">
                  <c:v>164.74</c:v>
                </c:pt>
                <c:pt idx="72">
                  <c:v>164.34</c:v>
                </c:pt>
                <c:pt idx="73">
                  <c:v>164.26</c:v>
                </c:pt>
                <c:pt idx="74">
                  <c:v>165.11</c:v>
                </c:pt>
                <c:pt idx="75">
                  <c:v>164</c:v>
                </c:pt>
                <c:pt idx="76">
                  <c:v>164.71</c:v>
                </c:pt>
                <c:pt idx="77">
                  <c:v>167.85</c:v>
                </c:pt>
                <c:pt idx="78">
                  <c:v>166.34</c:v>
                </c:pt>
                <c:pt idx="79">
                  <c:v>165.59</c:v>
                </c:pt>
                <c:pt idx="80">
                  <c:v>166.08</c:v>
                </c:pt>
                <c:pt idx="81">
                  <c:v>166.21</c:v>
                </c:pt>
                <c:pt idx="82">
                  <c:v>167.5</c:v>
                </c:pt>
                <c:pt idx="83">
                  <c:v>169.84</c:v>
                </c:pt>
                <c:pt idx="84">
                  <c:v>171.79</c:v>
                </c:pt>
                <c:pt idx="85">
                  <c:v>172.16</c:v>
                </c:pt>
                <c:pt idx="86">
                  <c:v>172.95</c:v>
                </c:pt>
                <c:pt idx="87">
                  <c:v>174.37</c:v>
                </c:pt>
                <c:pt idx="88">
                  <c:v>175.01</c:v>
                </c:pt>
                <c:pt idx="89">
                  <c:v>175.06</c:v>
                </c:pt>
                <c:pt idx="90">
                  <c:v>174.67</c:v>
                </c:pt>
                <c:pt idx="91">
                  <c:v>174.48</c:v>
                </c:pt>
                <c:pt idx="92">
                  <c:v>175.9</c:v>
                </c:pt>
                <c:pt idx="93">
                  <c:v>176.1</c:v>
                </c:pt>
                <c:pt idx="94">
                  <c:v>174.81</c:v>
                </c:pt>
                <c:pt idx="95">
                  <c:v>172.99</c:v>
                </c:pt>
                <c:pt idx="96">
                  <c:v>172.54</c:v>
                </c:pt>
                <c:pt idx="97">
                  <c:v>170.42</c:v>
                </c:pt>
                <c:pt idx="98">
                  <c:v>167.21</c:v>
                </c:pt>
              </c:numCache>
            </c:numRef>
          </c:val>
          <c:extLst>
            <c:ext xmlns:c16="http://schemas.microsoft.com/office/drawing/2014/chart" uri="{C3380CC4-5D6E-409C-BE32-E72D297353CC}">
              <c16:uniqueId val="{00000000-38AB-447C-9D57-9B8DC9FC34ED}"/>
            </c:ext>
          </c:extLst>
        </c:ser>
        <c:dLbls>
          <c:showLegendKey val="0"/>
          <c:showVal val="0"/>
          <c:showCatName val="0"/>
          <c:showSerName val="0"/>
          <c:showPercent val="0"/>
          <c:showBubbleSize val="0"/>
        </c:dLbls>
        <c:gapWidth val="219"/>
        <c:overlap val="-27"/>
        <c:axId val="1292960031"/>
        <c:axId val="1292960991"/>
        <c:extLst>
          <c:ext xmlns:c15="http://schemas.microsoft.com/office/drawing/2012/chart" uri="{02D57815-91ED-43cb-92C2-25804820EDAC}">
            <c15:filteredBarSeries>
              <c15:ser>
                <c:idx val="0"/>
                <c:order val="0"/>
                <c:tx>
                  <c:strRef>
                    <c:extLst>
                      <c:ext uri="{02D57815-91ED-43cb-92C2-25804820EDAC}">
                        <c15:formulaRef>
                          <c15:sqref>'pepsi dataset'!$B$1</c15:sqref>
                        </c15:formulaRef>
                      </c:ext>
                    </c:extLst>
                    <c:strCache>
                      <c:ptCount val="1"/>
                      <c:pt idx="0">
                        <c:v>Open</c:v>
                      </c:pt>
                    </c:strCache>
                  </c:strRef>
                </c:tx>
                <c:spPr>
                  <a:solidFill>
                    <a:schemeClr val="accent2">
                      <a:tint val="43000"/>
                    </a:schemeClr>
                  </a:solidFill>
                  <a:ln>
                    <a:noFill/>
                  </a:ln>
                  <a:effectLst/>
                </c:spPr>
                <c:invertIfNegative val="0"/>
                <c:cat>
                  <c:strRef>
                    <c:extLst>
                      <c:ext uri="{02D57815-91ED-43cb-92C2-25804820EDAC}">
                        <c15:formulaRef>
                          <c15:sqref>'pepsi dataset'!$A$2:$A$100</c15:sqref>
                        </c15:formulaRef>
                      </c:ext>
                    </c:extLst>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extLst>
                      <c:ext uri="{02D57815-91ED-43cb-92C2-25804820EDAC}">
                        <c15:formulaRef>
                          <c15:sqref>'pepsi dataset'!$B$2:$B$100</c15:sqref>
                        </c15:formulaRef>
                      </c:ext>
                    </c:extLst>
                    <c:numCache>
                      <c:formatCode>General</c:formatCode>
                      <c:ptCount val="99"/>
                      <c:pt idx="0">
                        <c:v>152.88</c:v>
                      </c:pt>
                      <c:pt idx="1">
                        <c:v>150.96</c:v>
                      </c:pt>
                      <c:pt idx="2">
                        <c:v>149.6</c:v>
                      </c:pt>
                      <c:pt idx="3">
                        <c:v>146.46</c:v>
                      </c:pt>
                      <c:pt idx="4">
                        <c:v>145.4</c:v>
                      </c:pt>
                      <c:pt idx="5">
                        <c:v>145</c:v>
                      </c:pt>
                      <c:pt idx="6">
                        <c:v>142.79</c:v>
                      </c:pt>
                      <c:pt idx="7">
                        <c:v>144.19</c:v>
                      </c:pt>
                      <c:pt idx="8">
                        <c:v>145.49</c:v>
                      </c:pt>
                      <c:pt idx="9">
                        <c:v>144.05000000000001</c:v>
                      </c:pt>
                      <c:pt idx="10">
                        <c:v>147.72</c:v>
                      </c:pt>
                      <c:pt idx="11">
                        <c:v>148.33000000000001</c:v>
                      </c:pt>
                      <c:pt idx="12">
                        <c:v>148.22999999999999</c:v>
                      </c:pt>
                      <c:pt idx="13">
                        <c:v>148.49</c:v>
                      </c:pt>
                      <c:pt idx="14">
                        <c:v>148.82</c:v>
                      </c:pt>
                      <c:pt idx="15">
                        <c:v>150.91999999999999</c:v>
                      </c:pt>
                      <c:pt idx="16">
                        <c:v>154.14500000000001</c:v>
                      </c:pt>
                      <c:pt idx="17">
                        <c:v>151.13</c:v>
                      </c:pt>
                      <c:pt idx="18">
                        <c:v>151.28</c:v>
                      </c:pt>
                      <c:pt idx="19">
                        <c:v>150.76</c:v>
                      </c:pt>
                      <c:pt idx="20">
                        <c:v>149.755</c:v>
                      </c:pt>
                      <c:pt idx="21">
                        <c:v>146.1</c:v>
                      </c:pt>
                      <c:pt idx="22">
                        <c:v>143.38999999999999</c:v>
                      </c:pt>
                      <c:pt idx="23">
                        <c:v>146.26</c:v>
                      </c:pt>
                      <c:pt idx="24">
                        <c:v>145.01</c:v>
                      </c:pt>
                      <c:pt idx="25">
                        <c:v>144.35</c:v>
                      </c:pt>
                      <c:pt idx="26">
                        <c:v>144.37</c:v>
                      </c:pt>
                      <c:pt idx="27">
                        <c:v>144.04</c:v>
                      </c:pt>
                      <c:pt idx="28">
                        <c:v>144.22999999999999</c:v>
                      </c:pt>
                      <c:pt idx="29">
                        <c:v>144.66999999999999</c:v>
                      </c:pt>
                      <c:pt idx="30">
                        <c:v>142.9</c:v>
                      </c:pt>
                      <c:pt idx="31">
                        <c:v>144.22999999999999</c:v>
                      </c:pt>
                      <c:pt idx="32">
                        <c:v>145.11000000000001</c:v>
                      </c:pt>
                      <c:pt idx="33">
                        <c:v>149.99</c:v>
                      </c:pt>
                      <c:pt idx="34">
                        <c:v>152.34</c:v>
                      </c:pt>
                      <c:pt idx="35">
                        <c:v>154.79</c:v>
                      </c:pt>
                      <c:pt idx="36">
                        <c:v>155.57</c:v>
                      </c:pt>
                      <c:pt idx="37">
                        <c:v>150.9</c:v>
                      </c:pt>
                      <c:pt idx="38">
                        <c:v>153.69999999999999</c:v>
                      </c:pt>
                      <c:pt idx="39">
                        <c:v>167.72</c:v>
                      </c:pt>
                      <c:pt idx="40">
                        <c:v>167.72</c:v>
                      </c:pt>
                      <c:pt idx="41">
                        <c:v>169.38</c:v>
                      </c:pt>
                      <c:pt idx="42">
                        <c:v>172.07</c:v>
                      </c:pt>
                      <c:pt idx="43">
                        <c:v>174</c:v>
                      </c:pt>
                      <c:pt idx="44">
                        <c:v>174.95500000000001</c:v>
                      </c:pt>
                      <c:pt idx="45">
                        <c:v>176.35499999999999</c:v>
                      </c:pt>
                      <c:pt idx="46">
                        <c:v>175.01</c:v>
                      </c:pt>
                      <c:pt idx="47">
                        <c:v>174.38</c:v>
                      </c:pt>
                      <c:pt idx="48">
                        <c:v>172.3</c:v>
                      </c:pt>
                      <c:pt idx="49">
                        <c:v>174.46</c:v>
                      </c:pt>
                      <c:pt idx="50">
                        <c:v>174.51</c:v>
                      </c:pt>
                      <c:pt idx="51">
                        <c:v>173.7</c:v>
                      </c:pt>
                      <c:pt idx="52">
                        <c:v>172.92</c:v>
                      </c:pt>
                      <c:pt idx="53">
                        <c:v>172.47</c:v>
                      </c:pt>
                      <c:pt idx="54">
                        <c:v>172.98</c:v>
                      </c:pt>
                      <c:pt idx="55">
                        <c:v>169.2</c:v>
                      </c:pt>
                      <c:pt idx="56">
                        <c:v>167</c:v>
                      </c:pt>
                      <c:pt idx="57">
                        <c:v>166.1</c:v>
                      </c:pt>
                      <c:pt idx="58">
                        <c:v>166.09</c:v>
                      </c:pt>
                      <c:pt idx="59">
                        <c:v>165.59</c:v>
                      </c:pt>
                      <c:pt idx="60">
                        <c:v>165.95</c:v>
                      </c:pt>
                      <c:pt idx="61">
                        <c:v>167.37</c:v>
                      </c:pt>
                      <c:pt idx="62">
                        <c:v>164.5</c:v>
                      </c:pt>
                      <c:pt idx="63">
                        <c:v>163.84</c:v>
                      </c:pt>
                      <c:pt idx="64">
                        <c:v>164.41</c:v>
                      </c:pt>
                      <c:pt idx="65">
                        <c:v>164.09</c:v>
                      </c:pt>
                      <c:pt idx="66">
                        <c:v>163.49</c:v>
                      </c:pt>
                      <c:pt idx="67">
                        <c:v>164.74</c:v>
                      </c:pt>
                      <c:pt idx="68">
                        <c:v>164.38</c:v>
                      </c:pt>
                      <c:pt idx="69">
                        <c:v>159.405</c:v>
                      </c:pt>
                      <c:pt idx="70">
                        <c:v>157.75</c:v>
                      </c:pt>
                      <c:pt idx="71">
                        <c:v>156.44999999999999</c:v>
                      </c:pt>
                      <c:pt idx="72">
                        <c:v>158.38999999999999</c:v>
                      </c:pt>
                      <c:pt idx="73">
                        <c:v>160.9</c:v>
                      </c:pt>
                      <c:pt idx="74">
                        <c:v>162.69999999999999</c:v>
                      </c:pt>
                      <c:pt idx="75">
                        <c:v>163.27000000000001</c:v>
                      </c:pt>
                      <c:pt idx="76">
                        <c:v>161.94</c:v>
                      </c:pt>
                      <c:pt idx="77">
                        <c:v>161.43</c:v>
                      </c:pt>
                      <c:pt idx="78">
                        <c:v>163.315</c:v>
                      </c:pt>
                      <c:pt idx="79">
                        <c:v>162.84</c:v>
                      </c:pt>
                      <c:pt idx="80">
                        <c:v>160.6</c:v>
                      </c:pt>
                      <c:pt idx="81">
                        <c:v>160.93</c:v>
                      </c:pt>
                      <c:pt idx="82">
                        <c:v>159.35</c:v>
                      </c:pt>
                      <c:pt idx="83">
                        <c:v>157.91</c:v>
                      </c:pt>
                      <c:pt idx="84">
                        <c:v>159</c:v>
                      </c:pt>
                      <c:pt idx="85">
                        <c:v>160.21</c:v>
                      </c:pt>
                      <c:pt idx="86">
                        <c:v>159.09</c:v>
                      </c:pt>
                      <c:pt idx="87">
                        <c:v>157.53</c:v>
                      </c:pt>
                      <c:pt idx="88">
                        <c:v>157.85</c:v>
                      </c:pt>
                      <c:pt idx="89">
                        <c:v>155.74</c:v>
                      </c:pt>
                      <c:pt idx="90">
                        <c:v>155.03</c:v>
                      </c:pt>
                      <c:pt idx="91">
                        <c:v>153.09</c:v>
                      </c:pt>
                      <c:pt idx="92">
                        <c:v>150.86000000000001</c:v>
                      </c:pt>
                      <c:pt idx="93">
                        <c:v>152.41</c:v>
                      </c:pt>
                      <c:pt idx="94">
                        <c:v>150.5</c:v>
                      </c:pt>
                      <c:pt idx="95">
                        <c:v>152.53</c:v>
                      </c:pt>
                      <c:pt idx="96">
                        <c:v>151.29</c:v>
                      </c:pt>
                      <c:pt idx="97">
                        <c:v>152.66</c:v>
                      </c:pt>
                      <c:pt idx="98">
                        <c:v>151.80000000000001</c:v>
                      </c:pt>
                    </c:numCache>
                  </c:numRef>
                </c:val>
                <c:extLst>
                  <c:ext xmlns:c16="http://schemas.microsoft.com/office/drawing/2014/chart" uri="{C3380CC4-5D6E-409C-BE32-E72D297353CC}">
                    <c16:uniqueId val="{00000002-38AB-447C-9D57-9B8DC9FC34ED}"/>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'pepsi dataset'!$C$1</c15:sqref>
                        </c15:formulaRef>
                      </c:ext>
                    </c:extLst>
                    <c:strCache>
                      <c:ptCount val="1"/>
                      <c:pt idx="0">
                        <c:v>High</c:v>
                      </c:pt>
                    </c:strCache>
                  </c:strRef>
                </c:tx>
                <c:spPr>
                  <a:solidFill>
                    <a:schemeClr val="accent2">
                      <a:tint val="56000"/>
                    </a:schemeClr>
                  </a:solidFill>
                  <a:ln>
                    <a:noFill/>
                  </a:ln>
                  <a:effectLst/>
                </c:spPr>
                <c:invertIfNegative val="0"/>
                <c:cat>
                  <c:strRef>
                    <c:extLst xmlns:c15="http://schemas.microsoft.com/office/drawing/2012/chart">
                      <c:ext xmlns:c15="http://schemas.microsoft.com/office/drawing/2012/chart" uri="{02D57815-91ED-43cb-92C2-25804820EDAC}">
                        <c15:formulaRef>
                          <c15:sqref>'pepsi dataset'!$A$2:$A$100</c15:sqref>
                        </c15:formulaRef>
                      </c:ext>
                    </c:extLst>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extLst xmlns:c15="http://schemas.microsoft.com/office/drawing/2012/chart">
                      <c:ext xmlns:c15="http://schemas.microsoft.com/office/drawing/2012/chart" uri="{02D57815-91ED-43cb-92C2-25804820EDAC}">
                        <c15:formulaRef>
                          <c15:sqref>'pepsi dataset'!$C$2:$C$100</c15:sqref>
                        </c15:formulaRef>
                      </c:ext>
                    </c:extLst>
                    <c:numCache>
                      <c:formatCode>General</c:formatCode>
                      <c:ptCount val="99"/>
                      <c:pt idx="0">
                        <c:v>153.66</c:v>
                      </c:pt>
                      <c:pt idx="1">
                        <c:v>150.96</c:v>
                      </c:pt>
                      <c:pt idx="2">
                        <c:v>149.94999999999999</c:v>
                      </c:pt>
                      <c:pt idx="3">
                        <c:v>147.97</c:v>
                      </c:pt>
                      <c:pt idx="4">
                        <c:v>146.66999999999999</c:v>
                      </c:pt>
                      <c:pt idx="5">
                        <c:v>145.57499999999999</c:v>
                      </c:pt>
                      <c:pt idx="6">
                        <c:v>145.13999999999999</c:v>
                      </c:pt>
                      <c:pt idx="7">
                        <c:v>145.13999999999999</c:v>
                      </c:pt>
                      <c:pt idx="8">
                        <c:v>146.19999999999999</c:v>
                      </c:pt>
                      <c:pt idx="9">
                        <c:v>146.79</c:v>
                      </c:pt>
                      <c:pt idx="10">
                        <c:v>148.62</c:v>
                      </c:pt>
                      <c:pt idx="11">
                        <c:v>149.78</c:v>
                      </c:pt>
                      <c:pt idx="12">
                        <c:v>149.44999999999999</c:v>
                      </c:pt>
                      <c:pt idx="13">
                        <c:v>148.93989999999999</c:v>
                      </c:pt>
                      <c:pt idx="14">
                        <c:v>149.31</c:v>
                      </c:pt>
                      <c:pt idx="15">
                        <c:v>155.47</c:v>
                      </c:pt>
                      <c:pt idx="16">
                        <c:v>154.61000000000001</c:v>
                      </c:pt>
                      <c:pt idx="17">
                        <c:v>152</c:v>
                      </c:pt>
                      <c:pt idx="18">
                        <c:v>153.08000000000001</c:v>
                      </c:pt>
                      <c:pt idx="19">
                        <c:v>151.69</c:v>
                      </c:pt>
                      <c:pt idx="20">
                        <c:v>151.13</c:v>
                      </c:pt>
                      <c:pt idx="21">
                        <c:v>147.75</c:v>
                      </c:pt>
                      <c:pt idx="22">
                        <c:v>145.79</c:v>
                      </c:pt>
                      <c:pt idx="23">
                        <c:v>146.9</c:v>
                      </c:pt>
                      <c:pt idx="24">
                        <c:v>145.15</c:v>
                      </c:pt>
                      <c:pt idx="25">
                        <c:v>144.52000000000001</c:v>
                      </c:pt>
                      <c:pt idx="26">
                        <c:v>145.72</c:v>
                      </c:pt>
                      <c:pt idx="27">
                        <c:v>144.78</c:v>
                      </c:pt>
                      <c:pt idx="28">
                        <c:v>144.935</c:v>
                      </c:pt>
                      <c:pt idx="29">
                        <c:v>146.16999999999999</c:v>
                      </c:pt>
                      <c:pt idx="30">
                        <c:v>144.15</c:v>
                      </c:pt>
                      <c:pt idx="31">
                        <c:v>145.93</c:v>
                      </c:pt>
                      <c:pt idx="32">
                        <c:v>149.18989999999999</c:v>
                      </c:pt>
                      <c:pt idx="33">
                        <c:v>154.55000000000001</c:v>
                      </c:pt>
                      <c:pt idx="34">
                        <c:v>156.32</c:v>
                      </c:pt>
                      <c:pt idx="35">
                        <c:v>158.46</c:v>
                      </c:pt>
                      <c:pt idx="36">
                        <c:v>155.61000000000001</c:v>
                      </c:pt>
                      <c:pt idx="37">
                        <c:v>152.6893</c:v>
                      </c:pt>
                      <c:pt idx="38">
                        <c:v>155.1</c:v>
                      </c:pt>
                      <c:pt idx="39">
                        <c:v>167.93</c:v>
                      </c:pt>
                      <c:pt idx="40">
                        <c:v>170.65</c:v>
                      </c:pt>
                      <c:pt idx="41">
                        <c:v>173.28</c:v>
                      </c:pt>
                      <c:pt idx="42">
                        <c:v>173.06</c:v>
                      </c:pt>
                      <c:pt idx="43">
                        <c:v>175.17500000000001</c:v>
                      </c:pt>
                      <c:pt idx="44">
                        <c:v>176.27</c:v>
                      </c:pt>
                      <c:pt idx="45">
                        <c:v>177.39</c:v>
                      </c:pt>
                      <c:pt idx="46">
                        <c:v>175.33</c:v>
                      </c:pt>
                      <c:pt idx="47">
                        <c:v>175.47</c:v>
                      </c:pt>
                      <c:pt idx="48">
                        <c:v>175.33</c:v>
                      </c:pt>
                      <c:pt idx="49">
                        <c:v>177.5</c:v>
                      </c:pt>
                      <c:pt idx="50">
                        <c:v>174.95</c:v>
                      </c:pt>
                      <c:pt idx="51">
                        <c:v>173.84</c:v>
                      </c:pt>
                      <c:pt idx="52">
                        <c:v>173.535</c:v>
                      </c:pt>
                      <c:pt idx="53">
                        <c:v>174</c:v>
                      </c:pt>
                      <c:pt idx="54">
                        <c:v>172.98</c:v>
                      </c:pt>
                      <c:pt idx="55">
                        <c:v>169.2</c:v>
                      </c:pt>
                      <c:pt idx="56">
                        <c:v>167.63990000000001</c:v>
                      </c:pt>
                      <c:pt idx="57">
                        <c:v>167.50479999999999</c:v>
                      </c:pt>
                      <c:pt idx="58">
                        <c:v>166.25</c:v>
                      </c:pt>
                      <c:pt idx="59">
                        <c:v>166.65</c:v>
                      </c:pt>
                      <c:pt idx="60">
                        <c:v>167.96</c:v>
                      </c:pt>
                      <c:pt idx="61">
                        <c:v>167.41</c:v>
                      </c:pt>
                      <c:pt idx="62">
                        <c:v>164.9</c:v>
                      </c:pt>
                      <c:pt idx="63">
                        <c:v>165.82</c:v>
                      </c:pt>
                      <c:pt idx="64">
                        <c:v>166.15</c:v>
                      </c:pt>
                      <c:pt idx="65">
                        <c:v>165</c:v>
                      </c:pt>
                      <c:pt idx="66">
                        <c:v>164.8</c:v>
                      </c:pt>
                      <c:pt idx="67">
                        <c:v>166.88499999999999</c:v>
                      </c:pt>
                      <c:pt idx="68">
                        <c:v>164.38</c:v>
                      </c:pt>
                      <c:pt idx="69">
                        <c:v>159.85</c:v>
                      </c:pt>
                      <c:pt idx="70">
                        <c:v>157.87</c:v>
                      </c:pt>
                      <c:pt idx="71">
                        <c:v>159.11000000000001</c:v>
                      </c:pt>
                      <c:pt idx="72">
                        <c:v>160.5</c:v>
                      </c:pt>
                      <c:pt idx="73">
                        <c:v>162.06</c:v>
                      </c:pt>
                      <c:pt idx="74">
                        <c:v>163.59</c:v>
                      </c:pt>
                      <c:pt idx="75">
                        <c:v>163.68</c:v>
                      </c:pt>
                      <c:pt idx="76">
                        <c:v>165.13</c:v>
                      </c:pt>
                      <c:pt idx="77">
                        <c:v>163.58500000000001</c:v>
                      </c:pt>
                      <c:pt idx="78">
                        <c:v>163.65</c:v>
                      </c:pt>
                      <c:pt idx="79">
                        <c:v>163.05000000000001</c:v>
                      </c:pt>
                      <c:pt idx="80">
                        <c:v>161.03270000000001</c:v>
                      </c:pt>
                      <c:pt idx="81">
                        <c:v>161.01</c:v>
                      </c:pt>
                      <c:pt idx="82">
                        <c:v>160.80000000000001</c:v>
                      </c:pt>
                      <c:pt idx="83">
                        <c:v>161.5</c:v>
                      </c:pt>
                      <c:pt idx="84">
                        <c:v>160.41999999999999</c:v>
                      </c:pt>
                      <c:pt idx="85">
                        <c:v>160.51499999999999</c:v>
                      </c:pt>
                      <c:pt idx="86">
                        <c:v>159.4</c:v>
                      </c:pt>
                      <c:pt idx="87">
                        <c:v>159.57</c:v>
                      </c:pt>
                      <c:pt idx="88">
                        <c:v>158.82</c:v>
                      </c:pt>
                      <c:pt idx="89">
                        <c:v>158.5</c:v>
                      </c:pt>
                      <c:pt idx="90">
                        <c:v>155.83000000000001</c:v>
                      </c:pt>
                      <c:pt idx="91">
                        <c:v>154.07939999999999</c:v>
                      </c:pt>
                      <c:pt idx="92">
                        <c:v>153.49</c:v>
                      </c:pt>
                      <c:pt idx="93">
                        <c:v>152.41</c:v>
                      </c:pt>
                      <c:pt idx="94">
                        <c:v>152.83000000000001</c:v>
                      </c:pt>
                      <c:pt idx="95">
                        <c:v>153.1799</c:v>
                      </c:pt>
                      <c:pt idx="96">
                        <c:v>153.47</c:v>
                      </c:pt>
                      <c:pt idx="97">
                        <c:v>153.09</c:v>
                      </c:pt>
                      <c:pt idx="98">
                        <c:v>153.15</c:v>
                      </c:pt>
                    </c:numCache>
                  </c:numRef>
                </c:val>
                <c:extLst xmlns:c15="http://schemas.microsoft.com/office/drawing/2012/chart">
                  <c:ext xmlns:c16="http://schemas.microsoft.com/office/drawing/2014/chart" uri="{C3380CC4-5D6E-409C-BE32-E72D297353CC}">
                    <c16:uniqueId val="{00000003-38AB-447C-9D57-9B8DC9FC34ED}"/>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'pepsi dataset'!$D$1</c15:sqref>
                        </c15:formulaRef>
                      </c:ext>
                    </c:extLst>
                    <c:strCache>
                      <c:ptCount val="1"/>
                      <c:pt idx="0">
                        <c:v>Low</c:v>
                      </c:pt>
                    </c:strCache>
                  </c:strRef>
                </c:tx>
                <c:spPr>
                  <a:solidFill>
                    <a:schemeClr val="accent2">
                      <a:tint val="69000"/>
                    </a:schemeClr>
                  </a:solidFill>
                  <a:ln>
                    <a:noFill/>
                  </a:ln>
                  <a:effectLst/>
                </c:spPr>
                <c:invertIfNegative val="0"/>
                <c:cat>
                  <c:strRef>
                    <c:extLst xmlns:c15="http://schemas.microsoft.com/office/drawing/2012/chart">
                      <c:ext xmlns:c15="http://schemas.microsoft.com/office/drawing/2012/chart" uri="{02D57815-91ED-43cb-92C2-25804820EDAC}">
                        <c15:formulaRef>
                          <c15:sqref>'pepsi dataset'!$A$2:$A$100</c15:sqref>
                        </c15:formulaRef>
                      </c:ext>
                    </c:extLst>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extLst xmlns:c15="http://schemas.microsoft.com/office/drawing/2012/chart">
                      <c:ext xmlns:c15="http://schemas.microsoft.com/office/drawing/2012/chart" uri="{02D57815-91ED-43cb-92C2-25804820EDAC}">
                        <c15:formulaRef>
                          <c15:sqref>'pepsi dataset'!$D$2:$D$100</c15:sqref>
                        </c15:formulaRef>
                      </c:ext>
                    </c:extLst>
                    <c:numCache>
                      <c:formatCode>General</c:formatCode>
                      <c:ptCount val="99"/>
                      <c:pt idx="0">
                        <c:v>149.88999999999999</c:v>
                      </c:pt>
                      <c:pt idx="1">
                        <c:v>149.56</c:v>
                      </c:pt>
                      <c:pt idx="2">
                        <c:v>146.1</c:v>
                      </c:pt>
                      <c:pt idx="3">
                        <c:v>145.34</c:v>
                      </c:pt>
                      <c:pt idx="4">
                        <c:v>144.56</c:v>
                      </c:pt>
                      <c:pt idx="5">
                        <c:v>141.51</c:v>
                      </c:pt>
                      <c:pt idx="6">
                        <c:v>142.13999999999999</c:v>
                      </c:pt>
                      <c:pt idx="7">
                        <c:v>143.56</c:v>
                      </c:pt>
                      <c:pt idx="8">
                        <c:v>144.16999999999999</c:v>
                      </c:pt>
                      <c:pt idx="9">
                        <c:v>143.69</c:v>
                      </c:pt>
                      <c:pt idx="10">
                        <c:v>147.16999999999999</c:v>
                      </c:pt>
                      <c:pt idx="11">
                        <c:v>147.77000000000001</c:v>
                      </c:pt>
                      <c:pt idx="12">
                        <c:v>147.79</c:v>
                      </c:pt>
                      <c:pt idx="13">
                        <c:v>146.61000000000001</c:v>
                      </c:pt>
                      <c:pt idx="14">
                        <c:v>148.13</c:v>
                      </c:pt>
                      <c:pt idx="15">
                        <c:v>150.89500000000001</c:v>
                      </c:pt>
                      <c:pt idx="16">
                        <c:v>150.12</c:v>
                      </c:pt>
                      <c:pt idx="17">
                        <c:v>150.22999999999999</c:v>
                      </c:pt>
                      <c:pt idx="18">
                        <c:v>150.63</c:v>
                      </c:pt>
                      <c:pt idx="19">
                        <c:v>150.27000000000001</c:v>
                      </c:pt>
                      <c:pt idx="20">
                        <c:v>148.83000000000001</c:v>
                      </c:pt>
                      <c:pt idx="21">
                        <c:v>143</c:v>
                      </c:pt>
                      <c:pt idx="22">
                        <c:v>142.69999999999999</c:v>
                      </c:pt>
                      <c:pt idx="23">
                        <c:v>143.96</c:v>
                      </c:pt>
                      <c:pt idx="24">
                        <c:v>143.9</c:v>
                      </c:pt>
                      <c:pt idx="25">
                        <c:v>143.01</c:v>
                      </c:pt>
                      <c:pt idx="26">
                        <c:v>143.4</c:v>
                      </c:pt>
                      <c:pt idx="27">
                        <c:v>143.03</c:v>
                      </c:pt>
                      <c:pt idx="28">
                        <c:v>143.6</c:v>
                      </c:pt>
                      <c:pt idx="29">
                        <c:v>143.33000000000001</c:v>
                      </c:pt>
                      <c:pt idx="30">
                        <c:v>141.6</c:v>
                      </c:pt>
                      <c:pt idx="31">
                        <c:v>144.15</c:v>
                      </c:pt>
                      <c:pt idx="32">
                        <c:v>145</c:v>
                      </c:pt>
                      <c:pt idx="33">
                        <c:v>148.9</c:v>
                      </c:pt>
                      <c:pt idx="34">
                        <c:v>152.12</c:v>
                      </c:pt>
                      <c:pt idx="35">
                        <c:v>154</c:v>
                      </c:pt>
                      <c:pt idx="36">
                        <c:v>151.13999999999999</c:v>
                      </c:pt>
                      <c:pt idx="37">
                        <c:v>149.93</c:v>
                      </c:pt>
                      <c:pt idx="38">
                        <c:v>152.35</c:v>
                      </c:pt>
                      <c:pt idx="39">
                        <c:v>166.45500000000001</c:v>
                      </c:pt>
                      <c:pt idx="40">
                        <c:v>166.85</c:v>
                      </c:pt>
                      <c:pt idx="41">
                        <c:v>169.1</c:v>
                      </c:pt>
                      <c:pt idx="42">
                        <c:v>171.22</c:v>
                      </c:pt>
                      <c:pt idx="43">
                        <c:v>172.87</c:v>
                      </c:pt>
                      <c:pt idx="44">
                        <c:v>174.44</c:v>
                      </c:pt>
                      <c:pt idx="45">
                        <c:v>175.12</c:v>
                      </c:pt>
                      <c:pt idx="46">
                        <c:v>173.63</c:v>
                      </c:pt>
                      <c:pt idx="47">
                        <c:v>173.69499999999999</c:v>
                      </c:pt>
                      <c:pt idx="48">
                        <c:v>172.12</c:v>
                      </c:pt>
                      <c:pt idx="49">
                        <c:v>174.34870000000001</c:v>
                      </c:pt>
                      <c:pt idx="50">
                        <c:v>173.505</c:v>
                      </c:pt>
                      <c:pt idx="51">
                        <c:v>172.47</c:v>
                      </c:pt>
                      <c:pt idx="52">
                        <c:v>171.7</c:v>
                      </c:pt>
                      <c:pt idx="53">
                        <c:v>171.6</c:v>
                      </c:pt>
                      <c:pt idx="54">
                        <c:v>169.72499999999999</c:v>
                      </c:pt>
                      <c:pt idx="55">
                        <c:v>166.97</c:v>
                      </c:pt>
                      <c:pt idx="56">
                        <c:v>166.08</c:v>
                      </c:pt>
                      <c:pt idx="57">
                        <c:v>165.81</c:v>
                      </c:pt>
                      <c:pt idx="58">
                        <c:v>165.21</c:v>
                      </c:pt>
                      <c:pt idx="59">
                        <c:v>165.18520000000001</c:v>
                      </c:pt>
                      <c:pt idx="60">
                        <c:v>165.67</c:v>
                      </c:pt>
                      <c:pt idx="61">
                        <c:v>163.6</c:v>
                      </c:pt>
                      <c:pt idx="62">
                        <c:v>163.47</c:v>
                      </c:pt>
                      <c:pt idx="63">
                        <c:v>163.64500000000001</c:v>
                      </c:pt>
                      <c:pt idx="64">
                        <c:v>163.98</c:v>
                      </c:pt>
                      <c:pt idx="65">
                        <c:v>163.15</c:v>
                      </c:pt>
                      <c:pt idx="66">
                        <c:v>162.37</c:v>
                      </c:pt>
                      <c:pt idx="67">
                        <c:v>163.83000000000001</c:v>
                      </c:pt>
                      <c:pt idx="68">
                        <c:v>158.05000000000001</c:v>
                      </c:pt>
                      <c:pt idx="69">
                        <c:v>157.76</c:v>
                      </c:pt>
                      <c:pt idx="70">
                        <c:v>155.85</c:v>
                      </c:pt>
                      <c:pt idx="71">
                        <c:v>156.19999999999999</c:v>
                      </c:pt>
                      <c:pt idx="72">
                        <c:v>157.94999999999999</c:v>
                      </c:pt>
                      <c:pt idx="73">
                        <c:v>159.88999999999999</c:v>
                      </c:pt>
                      <c:pt idx="74">
                        <c:v>162</c:v>
                      </c:pt>
                      <c:pt idx="75">
                        <c:v>161.9</c:v>
                      </c:pt>
                      <c:pt idx="76">
                        <c:v>161.68</c:v>
                      </c:pt>
                      <c:pt idx="77">
                        <c:v>160.94999999999999</c:v>
                      </c:pt>
                      <c:pt idx="78">
                        <c:v>161.76</c:v>
                      </c:pt>
                      <c:pt idx="79">
                        <c:v>161.41999999999999</c:v>
                      </c:pt>
                      <c:pt idx="80">
                        <c:v>159.41</c:v>
                      </c:pt>
                      <c:pt idx="81">
                        <c:v>158.83000000000001</c:v>
                      </c:pt>
                      <c:pt idx="82">
                        <c:v>157.69</c:v>
                      </c:pt>
                      <c:pt idx="83">
                        <c:v>157.13999999999999</c:v>
                      </c:pt>
                      <c:pt idx="84">
                        <c:v>157.35</c:v>
                      </c:pt>
                      <c:pt idx="85">
                        <c:v>156.26</c:v>
                      </c:pt>
                      <c:pt idx="86">
                        <c:v>157.97</c:v>
                      </c:pt>
                      <c:pt idx="87">
                        <c:v>157.06</c:v>
                      </c:pt>
                      <c:pt idx="88">
                        <c:v>155.88</c:v>
                      </c:pt>
                      <c:pt idx="89">
                        <c:v>155.24</c:v>
                      </c:pt>
                      <c:pt idx="90">
                        <c:v>154.11000000000001</c:v>
                      </c:pt>
                      <c:pt idx="91">
                        <c:v>151.41</c:v>
                      </c:pt>
                      <c:pt idx="92">
                        <c:v>150.51</c:v>
                      </c:pt>
                      <c:pt idx="93">
                        <c:v>149.7056</c:v>
                      </c:pt>
                      <c:pt idx="94">
                        <c:v>150.41</c:v>
                      </c:pt>
                      <c:pt idx="95">
                        <c:v>152.24</c:v>
                      </c:pt>
                      <c:pt idx="96">
                        <c:v>151.26</c:v>
                      </c:pt>
                      <c:pt idx="97">
                        <c:v>151.09</c:v>
                      </c:pt>
                      <c:pt idx="98">
                        <c:v>150.94</c:v>
                      </c:pt>
                    </c:numCache>
                  </c:numRef>
                </c:val>
                <c:extLst xmlns:c15="http://schemas.microsoft.com/office/drawing/2012/chart">
                  <c:ext xmlns:c16="http://schemas.microsoft.com/office/drawing/2014/chart" uri="{C3380CC4-5D6E-409C-BE32-E72D297353CC}">
                    <c16:uniqueId val="{00000004-38AB-447C-9D57-9B8DC9FC34ED}"/>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'pepsi dataset'!$F$1</c15:sqref>
                        </c15:formulaRef>
                      </c:ext>
                    </c:extLst>
                    <c:strCache>
                      <c:ptCount val="1"/>
                      <c:pt idx="0">
                        <c:v>Volume</c:v>
                      </c:pt>
                    </c:strCache>
                  </c:strRef>
                </c:tx>
                <c:spPr>
                  <a:solidFill>
                    <a:schemeClr val="accent2">
                      <a:tint val="94000"/>
                    </a:schemeClr>
                  </a:solidFill>
                  <a:ln>
                    <a:noFill/>
                  </a:ln>
                  <a:effectLst/>
                </c:spPr>
                <c:invertIfNegative val="0"/>
                <c:cat>
                  <c:strRef>
                    <c:extLst xmlns:c15="http://schemas.microsoft.com/office/drawing/2012/chart">
                      <c:ext xmlns:c15="http://schemas.microsoft.com/office/drawing/2012/chart" uri="{02D57815-91ED-43cb-92C2-25804820EDAC}">
                        <c15:formulaRef>
                          <c15:sqref>'pepsi dataset'!$A$2:$A$100</c15:sqref>
                        </c15:formulaRef>
                      </c:ext>
                    </c:extLst>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extLst xmlns:c15="http://schemas.microsoft.com/office/drawing/2012/chart">
                      <c:ext xmlns:c15="http://schemas.microsoft.com/office/drawing/2012/chart" uri="{02D57815-91ED-43cb-92C2-25804820EDAC}">
                        <c15:formulaRef>
                          <c15:sqref>'pepsi dataset'!$F$2:$F$100</c15:sqref>
                        </c15:formulaRef>
                      </c:ext>
                    </c:extLst>
                    <c:numCache>
                      <c:formatCode>General</c:formatCode>
                      <c:ptCount val="99"/>
                      <c:pt idx="0">
                        <c:v>8455499</c:v>
                      </c:pt>
                      <c:pt idx="1">
                        <c:v>6730985</c:v>
                      </c:pt>
                      <c:pt idx="2">
                        <c:v>9076519</c:v>
                      </c:pt>
                      <c:pt idx="3">
                        <c:v>9474619</c:v>
                      </c:pt>
                      <c:pt idx="4">
                        <c:v>7187038</c:v>
                      </c:pt>
                      <c:pt idx="5">
                        <c:v>10604400</c:v>
                      </c:pt>
                      <c:pt idx="6">
                        <c:v>6789805</c:v>
                      </c:pt>
                      <c:pt idx="7">
                        <c:v>5777273</c:v>
                      </c:pt>
                      <c:pt idx="8">
                        <c:v>8738725</c:v>
                      </c:pt>
                      <c:pt idx="9">
                        <c:v>5001806</c:v>
                      </c:pt>
                      <c:pt idx="10">
                        <c:v>7175276</c:v>
                      </c:pt>
                      <c:pt idx="11">
                        <c:v>6658177</c:v>
                      </c:pt>
                      <c:pt idx="12">
                        <c:v>6353965</c:v>
                      </c:pt>
                      <c:pt idx="13">
                        <c:v>8715391</c:v>
                      </c:pt>
                      <c:pt idx="14">
                        <c:v>5872343</c:v>
                      </c:pt>
                      <c:pt idx="15">
                        <c:v>5604877</c:v>
                      </c:pt>
                      <c:pt idx="16">
                        <c:v>9249234</c:v>
                      </c:pt>
                      <c:pt idx="17">
                        <c:v>12804950</c:v>
                      </c:pt>
                      <c:pt idx="18">
                        <c:v>7196227</c:v>
                      </c:pt>
                      <c:pt idx="19">
                        <c:v>4906744</c:v>
                      </c:pt>
                      <c:pt idx="20">
                        <c:v>4671278</c:v>
                      </c:pt>
                      <c:pt idx="21">
                        <c:v>4874072</c:v>
                      </c:pt>
                      <c:pt idx="22">
                        <c:v>6349670</c:v>
                      </c:pt>
                      <c:pt idx="23">
                        <c:v>9820585</c:v>
                      </c:pt>
                      <c:pt idx="24">
                        <c:v>4509550</c:v>
                      </c:pt>
                      <c:pt idx="25">
                        <c:v>4759125</c:v>
                      </c:pt>
                      <c:pt idx="26">
                        <c:v>5905060</c:v>
                      </c:pt>
                      <c:pt idx="27">
                        <c:v>7456182</c:v>
                      </c:pt>
                      <c:pt idx="28">
                        <c:v>7338870</c:v>
                      </c:pt>
                      <c:pt idx="29">
                        <c:v>5068040</c:v>
                      </c:pt>
                      <c:pt idx="30">
                        <c:v>7141555</c:v>
                      </c:pt>
                      <c:pt idx="31">
                        <c:v>6996448</c:v>
                      </c:pt>
                      <c:pt idx="32">
                        <c:v>8101358</c:v>
                      </c:pt>
                      <c:pt idx="33">
                        <c:v>9632651</c:v>
                      </c:pt>
                      <c:pt idx="34">
                        <c:v>6791848</c:v>
                      </c:pt>
                      <c:pt idx="35">
                        <c:v>7473300</c:v>
                      </c:pt>
                      <c:pt idx="36">
                        <c:v>9470626</c:v>
                      </c:pt>
                      <c:pt idx="37">
                        <c:v>5221639</c:v>
                      </c:pt>
                      <c:pt idx="38">
                        <c:v>4970233</c:v>
                      </c:pt>
                      <c:pt idx="39">
                        <c:v>4274960</c:v>
                      </c:pt>
                      <c:pt idx="40">
                        <c:v>5397016</c:v>
                      </c:pt>
                      <c:pt idx="41">
                        <c:v>4287007</c:v>
                      </c:pt>
                      <c:pt idx="42">
                        <c:v>5529590</c:v>
                      </c:pt>
                      <c:pt idx="43">
                        <c:v>3399800</c:v>
                      </c:pt>
                      <c:pt idx="44">
                        <c:v>6822232</c:v>
                      </c:pt>
                      <c:pt idx="45">
                        <c:v>19205160</c:v>
                      </c:pt>
                      <c:pt idx="46">
                        <c:v>9829489</c:v>
                      </c:pt>
                      <c:pt idx="47">
                        <c:v>7620865</c:v>
                      </c:pt>
                      <c:pt idx="48">
                        <c:v>6572560</c:v>
                      </c:pt>
                      <c:pt idx="49">
                        <c:v>6696490</c:v>
                      </c:pt>
                      <c:pt idx="50">
                        <c:v>4353854</c:v>
                      </c:pt>
                      <c:pt idx="51">
                        <c:v>6849507</c:v>
                      </c:pt>
                      <c:pt idx="52">
                        <c:v>7925928</c:v>
                      </c:pt>
                      <c:pt idx="53">
                        <c:v>5329401</c:v>
                      </c:pt>
                      <c:pt idx="54">
                        <c:v>8380406</c:v>
                      </c:pt>
                      <c:pt idx="55">
                        <c:v>8359166</c:v>
                      </c:pt>
                      <c:pt idx="56">
                        <c:v>5229646</c:v>
                      </c:pt>
                      <c:pt idx="57">
                        <c:v>6964605</c:v>
                      </c:pt>
                      <c:pt idx="58">
                        <c:v>4277392</c:v>
                      </c:pt>
                      <c:pt idx="59">
                        <c:v>4967612</c:v>
                      </c:pt>
                      <c:pt idx="60">
                        <c:v>2799312</c:v>
                      </c:pt>
                      <c:pt idx="61">
                        <c:v>3622893</c:v>
                      </c:pt>
                      <c:pt idx="62">
                        <c:v>4653842</c:v>
                      </c:pt>
                      <c:pt idx="63">
                        <c:v>8580393</c:v>
                      </c:pt>
                      <c:pt idx="64">
                        <c:v>5846256</c:v>
                      </c:pt>
                      <c:pt idx="65">
                        <c:v>5976987</c:v>
                      </c:pt>
                      <c:pt idx="66">
                        <c:v>5067255</c:v>
                      </c:pt>
                      <c:pt idx="67">
                        <c:v>8248864</c:v>
                      </c:pt>
                      <c:pt idx="68">
                        <c:v>6992040</c:v>
                      </c:pt>
                      <c:pt idx="69">
                        <c:v>9108948</c:v>
                      </c:pt>
                      <c:pt idx="70">
                        <c:v>5422685</c:v>
                      </c:pt>
                      <c:pt idx="71">
                        <c:v>4145443</c:v>
                      </c:pt>
                      <c:pt idx="72">
                        <c:v>5386925</c:v>
                      </c:pt>
                      <c:pt idx="73">
                        <c:v>3761969</c:v>
                      </c:pt>
                      <c:pt idx="74">
                        <c:v>4618265</c:v>
                      </c:pt>
                      <c:pt idx="75">
                        <c:v>5333532</c:v>
                      </c:pt>
                      <c:pt idx="76">
                        <c:v>7849309</c:v>
                      </c:pt>
                      <c:pt idx="77">
                        <c:v>3678708</c:v>
                      </c:pt>
                      <c:pt idx="78">
                        <c:v>4885472</c:v>
                      </c:pt>
                      <c:pt idx="79">
                        <c:v>6339121</c:v>
                      </c:pt>
                      <c:pt idx="80">
                        <c:v>5582423</c:v>
                      </c:pt>
                      <c:pt idx="81">
                        <c:v>4801541</c:v>
                      </c:pt>
                      <c:pt idx="82">
                        <c:v>5127890</c:v>
                      </c:pt>
                      <c:pt idx="83">
                        <c:v>5186635</c:v>
                      </c:pt>
                      <c:pt idx="84">
                        <c:v>4442863</c:v>
                      </c:pt>
                      <c:pt idx="85">
                        <c:v>4244903</c:v>
                      </c:pt>
                      <c:pt idx="86">
                        <c:v>3800654</c:v>
                      </c:pt>
                      <c:pt idx="87">
                        <c:v>3790452</c:v>
                      </c:pt>
                      <c:pt idx="88">
                        <c:v>6436516</c:v>
                      </c:pt>
                      <c:pt idx="89">
                        <c:v>5097170</c:v>
                      </c:pt>
                      <c:pt idx="90">
                        <c:v>4125910</c:v>
                      </c:pt>
                      <c:pt idx="91">
                        <c:v>4400852</c:v>
                      </c:pt>
                      <c:pt idx="92">
                        <c:v>5802290</c:v>
                      </c:pt>
                      <c:pt idx="93">
                        <c:v>4536048</c:v>
                      </c:pt>
                      <c:pt idx="94">
                        <c:v>4720299</c:v>
                      </c:pt>
                      <c:pt idx="95">
                        <c:v>5292404</c:v>
                      </c:pt>
                      <c:pt idx="96">
                        <c:v>7177529</c:v>
                      </c:pt>
                      <c:pt idx="97">
                        <c:v>8297792</c:v>
                      </c:pt>
                      <c:pt idx="98">
                        <c:v>5459506</c:v>
                      </c:pt>
                    </c:numCache>
                  </c:numRef>
                </c:val>
                <c:extLst xmlns:c15="http://schemas.microsoft.com/office/drawing/2012/chart">
                  <c:ext xmlns:c16="http://schemas.microsoft.com/office/drawing/2014/chart" uri="{C3380CC4-5D6E-409C-BE32-E72D297353CC}">
                    <c16:uniqueId val="{00000005-38AB-447C-9D57-9B8DC9FC34ED}"/>
                  </c:ext>
                </c:extLst>
              </c15:ser>
            </c15:filteredBarSeries>
          </c:ext>
        </c:extLst>
      </c:barChart>
      <c:lineChart>
        <c:grouping val="standard"/>
        <c:varyColors val="0"/>
        <c:ser>
          <c:idx val="9"/>
          <c:order val="9"/>
          <c:tx>
            <c:strRef>
              <c:f>'pepsi dataset'!$K$1</c:f>
              <c:strCache>
                <c:ptCount val="1"/>
                <c:pt idx="0">
                  <c:v> Moving Average</c:v>
                </c:pt>
              </c:strCache>
            </c:strRef>
          </c:tx>
          <c:spPr>
            <a:ln w="28575" cap="rnd">
              <a:solidFill>
                <a:schemeClr val="accent2">
                  <a:shade val="42000"/>
                </a:schemeClr>
              </a:solidFill>
              <a:round/>
            </a:ln>
            <a:effectLst/>
          </c:spPr>
          <c:marker>
            <c:symbol val="none"/>
          </c:marker>
          <c:cat>
            <c:strRef>
              <c:f>'pepsi dataset'!$A$2:$A$100</c:f>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f>'pepsi dataset'!$K$2:$K$100</c:f>
              <c:numCache>
                <c:formatCode>General</c:formatCode>
                <c:ptCount val="99"/>
                <c:pt idx="0">
                  <c:v>160.34</c:v>
                </c:pt>
                <c:pt idx="1">
                  <c:v>152.02000000000001</c:v>
                </c:pt>
                <c:pt idx="2">
                  <c:v>151.51</c:v>
                </c:pt>
                <c:pt idx="3">
                  <c:v>156.41999999999999</c:v>
                </c:pt>
                <c:pt idx="4">
                  <c:v>153.85</c:v>
                </c:pt>
                <c:pt idx="5">
                  <c:v>153.5</c:v>
                </c:pt>
                <c:pt idx="6">
                  <c:v>149.1</c:v>
                </c:pt>
                <c:pt idx="7">
                  <c:v>145.81</c:v>
                </c:pt>
                <c:pt idx="8">
                  <c:v>144.1</c:v>
                </c:pt>
                <c:pt idx="9">
                  <c:v>143.38999999999999</c:v>
                </c:pt>
                <c:pt idx="10">
                  <c:v>144.58000000000001</c:v>
                </c:pt>
                <c:pt idx="11">
                  <c:v>143.99</c:v>
                </c:pt>
                <c:pt idx="12">
                  <c:v>145.63999999999999</c:v>
                </c:pt>
                <c:pt idx="13">
                  <c:v>144.35</c:v>
                </c:pt>
                <c:pt idx="14">
                  <c:v>144.58000000000001</c:v>
                </c:pt>
                <c:pt idx="15">
                  <c:v>145.35</c:v>
                </c:pt>
                <c:pt idx="16">
                  <c:v>145.66</c:v>
                </c:pt>
                <c:pt idx="17">
                  <c:v>143.49</c:v>
                </c:pt>
                <c:pt idx="18">
                  <c:v>150.27000000000001</c:v>
                </c:pt>
                <c:pt idx="19">
                  <c:v>150.69</c:v>
                </c:pt>
                <c:pt idx="20">
                  <c:v>151.9</c:v>
                </c:pt>
                <c:pt idx="21">
                  <c:v>150.37</c:v>
                </c:pt>
                <c:pt idx="22">
                  <c:v>150.25</c:v>
                </c:pt>
                <c:pt idx="23">
                  <c:v>154.61000000000001</c:v>
                </c:pt>
                <c:pt idx="24">
                  <c:v>149.12</c:v>
                </c:pt>
                <c:pt idx="25">
                  <c:v>148.62</c:v>
                </c:pt>
                <c:pt idx="26">
                  <c:v>148.09</c:v>
                </c:pt>
                <c:pt idx="27">
                  <c:v>148.55000000000001</c:v>
                </c:pt>
                <c:pt idx="28">
                  <c:v>148.25</c:v>
                </c:pt>
                <c:pt idx="29">
                  <c:v>146.54</c:v>
                </c:pt>
                <c:pt idx="30">
                  <c:v>144.78</c:v>
                </c:pt>
                <c:pt idx="31">
                  <c:v>144.94999999999999</c:v>
                </c:pt>
                <c:pt idx="32">
                  <c:v>144.5</c:v>
                </c:pt>
                <c:pt idx="33">
                  <c:v>142.63999999999999</c:v>
                </c:pt>
                <c:pt idx="34">
                  <c:v>146.54</c:v>
                </c:pt>
                <c:pt idx="35">
                  <c:v>145.4</c:v>
                </c:pt>
                <c:pt idx="36">
                  <c:v>146.27000000000001</c:v>
                </c:pt>
                <c:pt idx="37">
                  <c:v>149.65</c:v>
                </c:pt>
                <c:pt idx="38">
                  <c:v>150.21</c:v>
                </c:pt>
                <c:pt idx="39">
                  <c:v>152.06</c:v>
                </c:pt>
                <c:pt idx="40">
                  <c:v>151.72</c:v>
                </c:pt>
                <c:pt idx="41">
                  <c:v>152.88999999999999</c:v>
                </c:pt>
                <c:pt idx="42">
                  <c:v>152.44</c:v>
                </c:pt>
                <c:pt idx="43">
                  <c:v>152.81</c:v>
                </c:pt>
                <c:pt idx="44">
                  <c:v>151.29</c:v>
                </c:pt>
                <c:pt idx="45">
                  <c:v>152.79</c:v>
                </c:pt>
                <c:pt idx="46">
                  <c:v>151.47</c:v>
                </c:pt>
                <c:pt idx="47">
                  <c:v>154.43</c:v>
                </c:pt>
                <c:pt idx="48">
                  <c:v>156.13999999999999</c:v>
                </c:pt>
                <c:pt idx="49">
                  <c:v>156.02000000000001</c:v>
                </c:pt>
                <c:pt idx="50">
                  <c:v>157.97</c:v>
                </c:pt>
                <c:pt idx="51">
                  <c:v>158.9</c:v>
                </c:pt>
                <c:pt idx="52">
                  <c:v>156.77000000000001</c:v>
                </c:pt>
                <c:pt idx="53">
                  <c:v>159.84</c:v>
                </c:pt>
                <c:pt idx="54">
                  <c:v>159.47</c:v>
                </c:pt>
                <c:pt idx="55">
                  <c:v>157.79</c:v>
                </c:pt>
                <c:pt idx="56">
                  <c:v>160.49</c:v>
                </c:pt>
                <c:pt idx="57">
                  <c:v>160.18</c:v>
                </c:pt>
                <c:pt idx="58">
                  <c:v>161.69999999999999</c:v>
                </c:pt>
                <c:pt idx="59">
                  <c:v>163.05000000000001</c:v>
                </c:pt>
                <c:pt idx="60">
                  <c:v>163.44999999999999</c:v>
                </c:pt>
                <c:pt idx="61">
                  <c:v>162.72</c:v>
                </c:pt>
                <c:pt idx="62">
                  <c:v>162.16</c:v>
                </c:pt>
                <c:pt idx="63">
                  <c:v>163.05000000000001</c:v>
                </c:pt>
                <c:pt idx="64">
                  <c:v>162</c:v>
                </c:pt>
                <c:pt idx="65">
                  <c:v>160.34</c:v>
                </c:pt>
                <c:pt idx="66">
                  <c:v>158.74</c:v>
                </c:pt>
                <c:pt idx="67">
                  <c:v>156.72</c:v>
                </c:pt>
                <c:pt idx="68">
                  <c:v>158.33000000000001</c:v>
                </c:pt>
                <c:pt idx="69">
                  <c:v>158.62</c:v>
                </c:pt>
                <c:pt idx="70">
                  <c:v>165.15</c:v>
                </c:pt>
                <c:pt idx="71">
                  <c:v>164.74</c:v>
                </c:pt>
                <c:pt idx="72">
                  <c:v>164.34</c:v>
                </c:pt>
                <c:pt idx="73">
                  <c:v>164.26</c:v>
                </c:pt>
                <c:pt idx="74">
                  <c:v>165.11</c:v>
                </c:pt>
                <c:pt idx="75">
                  <c:v>164</c:v>
                </c:pt>
                <c:pt idx="76">
                  <c:v>164.71</c:v>
                </c:pt>
                <c:pt idx="77">
                  <c:v>167.85</c:v>
                </c:pt>
                <c:pt idx="78">
                  <c:v>166.34</c:v>
                </c:pt>
                <c:pt idx="79">
                  <c:v>165.59</c:v>
                </c:pt>
                <c:pt idx="80">
                  <c:v>166.08</c:v>
                </c:pt>
                <c:pt idx="81">
                  <c:v>166.21</c:v>
                </c:pt>
                <c:pt idx="82">
                  <c:v>167.5</c:v>
                </c:pt>
                <c:pt idx="83">
                  <c:v>169.84</c:v>
                </c:pt>
                <c:pt idx="84">
                  <c:v>171.79</c:v>
                </c:pt>
                <c:pt idx="85">
                  <c:v>172.16</c:v>
                </c:pt>
                <c:pt idx="86">
                  <c:v>172.95</c:v>
                </c:pt>
                <c:pt idx="87">
                  <c:v>174.37</c:v>
                </c:pt>
                <c:pt idx="88">
                  <c:v>175.01</c:v>
                </c:pt>
                <c:pt idx="89">
                  <c:v>175.06</c:v>
                </c:pt>
                <c:pt idx="90">
                  <c:v>174.67</c:v>
                </c:pt>
                <c:pt idx="91">
                  <c:v>174.48</c:v>
                </c:pt>
                <c:pt idx="92">
                  <c:v>175.9</c:v>
                </c:pt>
                <c:pt idx="93">
                  <c:v>176.1</c:v>
                </c:pt>
                <c:pt idx="94">
                  <c:v>174.81</c:v>
                </c:pt>
                <c:pt idx="95">
                  <c:v>172.99</c:v>
                </c:pt>
                <c:pt idx="96">
                  <c:v>172.54</c:v>
                </c:pt>
                <c:pt idx="97">
                  <c:v>170.42</c:v>
                </c:pt>
                <c:pt idx="98">
                  <c:v>167.21</c:v>
                </c:pt>
              </c:numCache>
            </c:numRef>
          </c:val>
          <c:smooth val="0"/>
          <c:extLst>
            <c:ext xmlns:c16="http://schemas.microsoft.com/office/drawing/2014/chart" uri="{C3380CC4-5D6E-409C-BE32-E72D297353CC}">
              <c16:uniqueId val="{00000001-38AB-447C-9D57-9B8DC9FC34ED}"/>
            </c:ext>
          </c:extLst>
        </c:ser>
        <c:dLbls>
          <c:showLegendKey val="0"/>
          <c:showVal val="0"/>
          <c:showCatName val="0"/>
          <c:showSerName val="0"/>
          <c:showPercent val="0"/>
          <c:showBubbleSize val="0"/>
        </c:dLbls>
        <c:marker val="1"/>
        <c:smooth val="0"/>
        <c:axId val="1292960031"/>
        <c:axId val="1292960991"/>
        <c:extLst>
          <c:ext xmlns:c15="http://schemas.microsoft.com/office/drawing/2012/chart" uri="{02D57815-91ED-43cb-92C2-25804820EDAC}">
            <c15:filteredLineSeries>
              <c15:ser>
                <c:idx val="5"/>
                <c:order val="5"/>
                <c:tx>
                  <c:strRef>
                    <c:extLst>
                      <c:ext uri="{02D57815-91ED-43cb-92C2-25804820EDAC}">
                        <c15:formulaRef>
                          <c15:sqref>'pepsi dataset'!$G$1</c15:sqref>
                        </c15:formulaRef>
                      </c:ext>
                    </c:extLst>
                    <c:strCache>
                      <c:ptCount val="1"/>
                      <c:pt idx="0">
                        <c:v>Daily Price Change</c:v>
                      </c:pt>
                    </c:strCache>
                  </c:strRef>
                </c:tx>
                <c:spPr>
                  <a:ln w="28575" cap="rnd">
                    <a:solidFill>
                      <a:schemeClr val="accent2">
                        <a:shade val="93000"/>
                      </a:schemeClr>
                    </a:solidFill>
                    <a:round/>
                  </a:ln>
                  <a:effectLst/>
                </c:spPr>
                <c:marker>
                  <c:symbol val="none"/>
                </c:marker>
                <c:cat>
                  <c:strRef>
                    <c:extLst>
                      <c:ext uri="{02D57815-91ED-43cb-92C2-25804820EDAC}">
                        <c15:formulaRef>
                          <c15:sqref>'pepsi dataset'!$A$2:$A$100</c15:sqref>
                        </c15:formulaRef>
                      </c:ext>
                    </c:extLst>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extLst>
                      <c:ext uri="{02D57815-91ED-43cb-92C2-25804820EDAC}">
                        <c15:formulaRef>
                          <c15:sqref>'pepsi dataset'!$G$2:$G$100</c15:sqref>
                        </c15:formulaRef>
                      </c:ext>
                    </c:extLst>
                    <c:numCache>
                      <c:formatCode>General</c:formatCode>
                      <c:ptCount val="99"/>
                      <c:pt idx="0">
                        <c:v>0.59000000000000341</c:v>
                      </c:pt>
                      <c:pt idx="1">
                        <c:v>1.0600000000000023</c:v>
                      </c:pt>
                      <c:pt idx="2">
                        <c:v>1.9099999999999966</c:v>
                      </c:pt>
                      <c:pt idx="3">
                        <c:v>9.9599999999999795</c:v>
                      </c:pt>
                      <c:pt idx="4">
                        <c:v>8.4499999999999886</c:v>
                      </c:pt>
                      <c:pt idx="5">
                        <c:v>8.5</c:v>
                      </c:pt>
                      <c:pt idx="6">
                        <c:v>6.3100000000000023</c:v>
                      </c:pt>
                      <c:pt idx="7">
                        <c:v>1.6200000000000045</c:v>
                      </c:pt>
                      <c:pt idx="8">
                        <c:v>-1.3900000000000148</c:v>
                      </c:pt>
                      <c:pt idx="9">
                        <c:v>-0.66000000000002501</c:v>
                      </c:pt>
                      <c:pt idx="10">
                        <c:v>-3.1399999999999864</c:v>
                      </c:pt>
                      <c:pt idx="11">
                        <c:v>-4.3400000000000034</c:v>
                      </c:pt>
                      <c:pt idx="12">
                        <c:v>-2.5900000000000034</c:v>
                      </c:pt>
                      <c:pt idx="13">
                        <c:v>-4.1400000000000148</c:v>
                      </c:pt>
                      <c:pt idx="14">
                        <c:v>-4.2399999999999807</c:v>
                      </c:pt>
                      <c:pt idx="15">
                        <c:v>-5.5699999999999932</c:v>
                      </c:pt>
                      <c:pt idx="16">
                        <c:v>-8.4850000000000136</c:v>
                      </c:pt>
                      <c:pt idx="17">
                        <c:v>-7.6399999999999864</c:v>
                      </c:pt>
                      <c:pt idx="18">
                        <c:v>-1.0099999999999909</c:v>
                      </c:pt>
                      <c:pt idx="19">
                        <c:v>-6.9999999999993179E-2</c:v>
                      </c:pt>
                      <c:pt idx="20">
                        <c:v>2.1450000000000102</c:v>
                      </c:pt>
                      <c:pt idx="21">
                        <c:v>4.2700000000000102</c:v>
                      </c:pt>
                      <c:pt idx="22">
                        <c:v>6.8600000000000136</c:v>
                      </c:pt>
                      <c:pt idx="23">
                        <c:v>8.3500000000000227</c:v>
                      </c:pt>
                      <c:pt idx="24">
                        <c:v>4.1100000000000136</c:v>
                      </c:pt>
                      <c:pt idx="25">
                        <c:v>4.2700000000000102</c:v>
                      </c:pt>
                      <c:pt idx="26">
                        <c:v>3.7199999999999989</c:v>
                      </c:pt>
                      <c:pt idx="27">
                        <c:v>4.5100000000000193</c:v>
                      </c:pt>
                      <c:pt idx="28">
                        <c:v>4.0200000000000102</c:v>
                      </c:pt>
                      <c:pt idx="29">
                        <c:v>1.8700000000000045</c:v>
                      </c:pt>
                      <c:pt idx="30">
                        <c:v>1.8799999999999955</c:v>
                      </c:pt>
                      <c:pt idx="31">
                        <c:v>0.71999999999999886</c:v>
                      </c:pt>
                      <c:pt idx="32">
                        <c:v>-0.61000000000001364</c:v>
                      </c:pt>
                      <c:pt idx="33">
                        <c:v>-7.3500000000000227</c:v>
                      </c:pt>
                      <c:pt idx="34">
                        <c:v>-5.8000000000000114</c:v>
                      </c:pt>
                      <c:pt idx="35">
                        <c:v>-9.3899999999999864</c:v>
                      </c:pt>
                      <c:pt idx="36">
                        <c:v>-9.2999999999999829</c:v>
                      </c:pt>
                      <c:pt idx="37">
                        <c:v>-1.25</c:v>
                      </c:pt>
                      <c:pt idx="38">
                        <c:v>-3.4899999999999807</c:v>
                      </c:pt>
                      <c:pt idx="39">
                        <c:v>-15.659999999999997</c:v>
                      </c:pt>
                      <c:pt idx="40">
                        <c:v>-16</c:v>
                      </c:pt>
                      <c:pt idx="41">
                        <c:v>-16.490000000000009</c:v>
                      </c:pt>
                      <c:pt idx="42">
                        <c:v>-19.629999999999995</c:v>
                      </c:pt>
                      <c:pt idx="43">
                        <c:v>-21.189999999999998</c:v>
                      </c:pt>
                      <c:pt idx="44">
                        <c:v>-23.66500000000002</c:v>
                      </c:pt>
                      <c:pt idx="45">
                        <c:v>-23.564999999999998</c:v>
                      </c:pt>
                      <c:pt idx="46">
                        <c:v>-23.539999999999992</c:v>
                      </c:pt>
                      <c:pt idx="47">
                        <c:v>-19.949999999999989</c:v>
                      </c:pt>
                      <c:pt idx="48">
                        <c:v>-16.160000000000025</c:v>
                      </c:pt>
                      <c:pt idx="49">
                        <c:v>-18.439999999999998</c:v>
                      </c:pt>
                      <c:pt idx="50">
                        <c:v>-16.539999999999992</c:v>
                      </c:pt>
                      <c:pt idx="51">
                        <c:v>-14.799999999999983</c:v>
                      </c:pt>
                      <c:pt idx="52">
                        <c:v>-16.149999999999977</c:v>
                      </c:pt>
                      <c:pt idx="53">
                        <c:v>-12.629999999999995</c:v>
                      </c:pt>
                      <c:pt idx="54">
                        <c:v>-13.509999999999991</c:v>
                      </c:pt>
                      <c:pt idx="55">
                        <c:v>-11.409999999999997</c:v>
                      </c:pt>
                      <c:pt idx="56">
                        <c:v>-6.5099999999999909</c:v>
                      </c:pt>
                      <c:pt idx="57">
                        <c:v>-5.9199999999999875</c:v>
                      </c:pt>
                      <c:pt idx="58">
                        <c:v>-4.3900000000000148</c:v>
                      </c:pt>
                      <c:pt idx="59">
                        <c:v>-2.539999999999992</c:v>
                      </c:pt>
                      <c:pt idx="60">
                        <c:v>-2.5</c:v>
                      </c:pt>
                      <c:pt idx="61">
                        <c:v>-4.6500000000000057</c:v>
                      </c:pt>
                      <c:pt idx="62">
                        <c:v>-2.3400000000000034</c:v>
                      </c:pt>
                      <c:pt idx="63">
                        <c:v>-0.78999999999999204</c:v>
                      </c:pt>
                      <c:pt idx="64">
                        <c:v>-2.4099999999999966</c:v>
                      </c:pt>
                      <c:pt idx="65">
                        <c:v>-3.75</c:v>
                      </c:pt>
                      <c:pt idx="66">
                        <c:v>-4.75</c:v>
                      </c:pt>
                      <c:pt idx="67">
                        <c:v>-8.0200000000000102</c:v>
                      </c:pt>
                      <c:pt idx="68">
                        <c:v>-6.0499999999999829</c:v>
                      </c:pt>
                      <c:pt idx="69">
                        <c:v>-0.78499999999999659</c:v>
                      </c:pt>
                      <c:pt idx="70">
                        <c:v>7.4000000000000057</c:v>
                      </c:pt>
                      <c:pt idx="71">
                        <c:v>8.2900000000000205</c:v>
                      </c:pt>
                      <c:pt idx="72">
                        <c:v>5.9500000000000171</c:v>
                      </c:pt>
                      <c:pt idx="73">
                        <c:v>3.3599999999999852</c:v>
                      </c:pt>
                      <c:pt idx="74">
                        <c:v>2.410000000000025</c:v>
                      </c:pt>
                      <c:pt idx="75">
                        <c:v>0.72999999999998977</c:v>
                      </c:pt>
                      <c:pt idx="76">
                        <c:v>2.7700000000000102</c:v>
                      </c:pt>
                      <c:pt idx="77">
                        <c:v>6.4199999999999875</c:v>
                      </c:pt>
                      <c:pt idx="78">
                        <c:v>3.0250000000000057</c:v>
                      </c:pt>
                      <c:pt idx="79">
                        <c:v>2.75</c:v>
                      </c:pt>
                      <c:pt idx="80">
                        <c:v>5.4800000000000182</c:v>
                      </c:pt>
                      <c:pt idx="81">
                        <c:v>5.2800000000000011</c:v>
                      </c:pt>
                      <c:pt idx="82">
                        <c:v>8.1500000000000057</c:v>
                      </c:pt>
                      <c:pt idx="83">
                        <c:v>11.930000000000007</c:v>
                      </c:pt>
                      <c:pt idx="84">
                        <c:v>12.789999999999992</c:v>
                      </c:pt>
                      <c:pt idx="85">
                        <c:v>11.949999999999989</c:v>
                      </c:pt>
                      <c:pt idx="86">
                        <c:v>13.859999999999985</c:v>
                      </c:pt>
                      <c:pt idx="87">
                        <c:v>16.840000000000003</c:v>
                      </c:pt>
                      <c:pt idx="88">
                        <c:v>17.159999999999997</c:v>
                      </c:pt>
                      <c:pt idx="89">
                        <c:v>19.319999999999993</c:v>
                      </c:pt>
                      <c:pt idx="90">
                        <c:v>19.639999999999986</c:v>
                      </c:pt>
                      <c:pt idx="91">
                        <c:v>21.389999999999986</c:v>
                      </c:pt>
                      <c:pt idx="92">
                        <c:v>25.039999999999992</c:v>
                      </c:pt>
                      <c:pt idx="93">
                        <c:v>23.689999999999998</c:v>
                      </c:pt>
                      <c:pt idx="94">
                        <c:v>24.310000000000002</c:v>
                      </c:pt>
                      <c:pt idx="95">
                        <c:v>20.460000000000008</c:v>
                      </c:pt>
                      <c:pt idx="96">
                        <c:v>21.25</c:v>
                      </c:pt>
                      <c:pt idx="97">
                        <c:v>17.759999999999991</c:v>
                      </c:pt>
                      <c:pt idx="98">
                        <c:v>15.409999999999997</c:v>
                      </c:pt>
                    </c:numCache>
                  </c:numRef>
                </c:val>
                <c:smooth val="0"/>
                <c:extLst>
                  <c:ext xmlns:c16="http://schemas.microsoft.com/office/drawing/2014/chart" uri="{C3380CC4-5D6E-409C-BE32-E72D297353CC}">
                    <c16:uniqueId val="{00000006-38AB-447C-9D57-9B8DC9FC34ED}"/>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'pepsi dataset'!$H$1</c15:sqref>
                        </c15:formulaRef>
                      </c:ext>
                    </c:extLst>
                    <c:strCache>
                      <c:ptCount val="1"/>
                      <c:pt idx="0">
                        <c:v>Daily Return (%)</c:v>
                      </c:pt>
                    </c:strCache>
                  </c:strRef>
                </c:tx>
                <c:spPr>
                  <a:ln w="28575" cap="rnd">
                    <a:solidFill>
                      <a:schemeClr val="accent2">
                        <a:shade val="80000"/>
                      </a:schemeClr>
                    </a:solidFill>
                    <a:round/>
                  </a:ln>
                  <a:effectLst/>
                </c:spPr>
                <c:marker>
                  <c:symbol val="none"/>
                </c:marker>
                <c:cat>
                  <c:strRef>
                    <c:extLst xmlns:c15="http://schemas.microsoft.com/office/drawing/2012/chart">
                      <c:ext xmlns:c15="http://schemas.microsoft.com/office/drawing/2012/chart" uri="{02D57815-91ED-43cb-92C2-25804820EDAC}">
                        <c15:formulaRef>
                          <c15:sqref>'pepsi dataset'!$A$2:$A$100</c15:sqref>
                        </c15:formulaRef>
                      </c:ext>
                    </c:extLst>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extLst xmlns:c15="http://schemas.microsoft.com/office/drawing/2012/chart">
                      <c:ext xmlns:c15="http://schemas.microsoft.com/office/drawing/2012/chart" uri="{02D57815-91ED-43cb-92C2-25804820EDAC}">
                        <c15:formulaRef>
                          <c15:sqref>'pepsi dataset'!$H$2:$H$100</c15:sqref>
                        </c15:formulaRef>
                      </c:ext>
                    </c:extLst>
                    <c:numCache>
                      <c:formatCode>General</c:formatCode>
                      <c:ptCount val="99"/>
                      <c:pt idx="0">
                        <c:v>53.47</c:v>
                      </c:pt>
                      <c:pt idx="1">
                        <c:v>52.02000000000001</c:v>
                      </c:pt>
                      <c:pt idx="2">
                        <c:v>51.509999999999991</c:v>
                      </c:pt>
                      <c:pt idx="3">
                        <c:v>56.419999999999987</c:v>
                      </c:pt>
                      <c:pt idx="4">
                        <c:v>53.849999999999994</c:v>
                      </c:pt>
                      <c:pt idx="5">
                        <c:v>53.5</c:v>
                      </c:pt>
                      <c:pt idx="6">
                        <c:v>49.099999999999994</c:v>
                      </c:pt>
                      <c:pt idx="7">
                        <c:v>45.81</c:v>
                      </c:pt>
                      <c:pt idx="8">
                        <c:v>44.099999999999994</c:v>
                      </c:pt>
                      <c:pt idx="9">
                        <c:v>43.389999999999986</c:v>
                      </c:pt>
                      <c:pt idx="10">
                        <c:v>44.580000000000013</c:v>
                      </c:pt>
                      <c:pt idx="11">
                        <c:v>43.990000000000009</c:v>
                      </c:pt>
                      <c:pt idx="12">
                        <c:v>45.639999999999986</c:v>
                      </c:pt>
                      <c:pt idx="13">
                        <c:v>44.349999999999994</c:v>
                      </c:pt>
                      <c:pt idx="14">
                        <c:v>44.580000000000013</c:v>
                      </c:pt>
                      <c:pt idx="15">
                        <c:v>45.349999999999994</c:v>
                      </c:pt>
                      <c:pt idx="16">
                        <c:v>45.66</c:v>
                      </c:pt>
                      <c:pt idx="17">
                        <c:v>43.490000000000009</c:v>
                      </c:pt>
                      <c:pt idx="18">
                        <c:v>50.27000000000001</c:v>
                      </c:pt>
                      <c:pt idx="19">
                        <c:v>50.69</c:v>
                      </c:pt>
                      <c:pt idx="20">
                        <c:v>51.900000000000006</c:v>
                      </c:pt>
                      <c:pt idx="21">
                        <c:v>50.370000000000005</c:v>
                      </c:pt>
                      <c:pt idx="22">
                        <c:v>50.25</c:v>
                      </c:pt>
                      <c:pt idx="23">
                        <c:v>54.610000000000014</c:v>
                      </c:pt>
                      <c:pt idx="24">
                        <c:v>49.120000000000005</c:v>
                      </c:pt>
                      <c:pt idx="25">
                        <c:v>48.620000000000005</c:v>
                      </c:pt>
                      <c:pt idx="26">
                        <c:v>48.09</c:v>
                      </c:pt>
                      <c:pt idx="27">
                        <c:v>48.550000000000011</c:v>
                      </c:pt>
                      <c:pt idx="28">
                        <c:v>48.25</c:v>
                      </c:pt>
                      <c:pt idx="29">
                        <c:v>46.539999999999992</c:v>
                      </c:pt>
                      <c:pt idx="30">
                        <c:v>44.78</c:v>
                      </c:pt>
                      <c:pt idx="31">
                        <c:v>44.949999999999989</c:v>
                      </c:pt>
                      <c:pt idx="32">
                        <c:v>44.5</c:v>
                      </c:pt>
                      <c:pt idx="33">
                        <c:v>42.639999999999986</c:v>
                      </c:pt>
                      <c:pt idx="34">
                        <c:v>46.539999999999992</c:v>
                      </c:pt>
                      <c:pt idx="35">
                        <c:v>45.400000000000006</c:v>
                      </c:pt>
                      <c:pt idx="36">
                        <c:v>46.27000000000001</c:v>
                      </c:pt>
                      <c:pt idx="37">
                        <c:v>49.650000000000006</c:v>
                      </c:pt>
                      <c:pt idx="38">
                        <c:v>50.210000000000008</c:v>
                      </c:pt>
                      <c:pt idx="39">
                        <c:v>52.06</c:v>
                      </c:pt>
                      <c:pt idx="40">
                        <c:v>51.72</c:v>
                      </c:pt>
                      <c:pt idx="41">
                        <c:v>52.889999999999986</c:v>
                      </c:pt>
                      <c:pt idx="42">
                        <c:v>52.44</c:v>
                      </c:pt>
                      <c:pt idx="43">
                        <c:v>52.81</c:v>
                      </c:pt>
                      <c:pt idx="44">
                        <c:v>51.289999999999992</c:v>
                      </c:pt>
                      <c:pt idx="45">
                        <c:v>52.789999999999992</c:v>
                      </c:pt>
                      <c:pt idx="46">
                        <c:v>51.47</c:v>
                      </c:pt>
                      <c:pt idx="47">
                        <c:v>54.430000000000007</c:v>
                      </c:pt>
                      <c:pt idx="48">
                        <c:v>56.139999999999986</c:v>
                      </c:pt>
                      <c:pt idx="49">
                        <c:v>56.02000000000001</c:v>
                      </c:pt>
                      <c:pt idx="50">
                        <c:v>57.97</c:v>
                      </c:pt>
                      <c:pt idx="51">
                        <c:v>58.900000000000006</c:v>
                      </c:pt>
                      <c:pt idx="52">
                        <c:v>56.77000000000001</c:v>
                      </c:pt>
                      <c:pt idx="53">
                        <c:v>59.84</c:v>
                      </c:pt>
                      <c:pt idx="54">
                        <c:v>59.47</c:v>
                      </c:pt>
                      <c:pt idx="55">
                        <c:v>57.789999999999992</c:v>
                      </c:pt>
                      <c:pt idx="56">
                        <c:v>60.490000000000009</c:v>
                      </c:pt>
                      <c:pt idx="57">
                        <c:v>60.180000000000007</c:v>
                      </c:pt>
                      <c:pt idx="58">
                        <c:v>61.699999999999989</c:v>
                      </c:pt>
                      <c:pt idx="59">
                        <c:v>63.050000000000011</c:v>
                      </c:pt>
                      <c:pt idx="60">
                        <c:v>63.449999999999989</c:v>
                      </c:pt>
                      <c:pt idx="61">
                        <c:v>62.72</c:v>
                      </c:pt>
                      <c:pt idx="62">
                        <c:v>62.16</c:v>
                      </c:pt>
                      <c:pt idx="63">
                        <c:v>63.050000000000011</c:v>
                      </c:pt>
                      <c:pt idx="64">
                        <c:v>62</c:v>
                      </c:pt>
                      <c:pt idx="65">
                        <c:v>60.34</c:v>
                      </c:pt>
                      <c:pt idx="66">
                        <c:v>58.740000000000009</c:v>
                      </c:pt>
                      <c:pt idx="67">
                        <c:v>56.72</c:v>
                      </c:pt>
                      <c:pt idx="68">
                        <c:v>58.330000000000013</c:v>
                      </c:pt>
                      <c:pt idx="69">
                        <c:v>58.620000000000005</c:v>
                      </c:pt>
                      <c:pt idx="70">
                        <c:v>65.150000000000006</c:v>
                      </c:pt>
                      <c:pt idx="71">
                        <c:v>64.740000000000009</c:v>
                      </c:pt>
                      <c:pt idx="72">
                        <c:v>64.34</c:v>
                      </c:pt>
                      <c:pt idx="73">
                        <c:v>64.259999999999991</c:v>
                      </c:pt>
                      <c:pt idx="74">
                        <c:v>65.110000000000014</c:v>
                      </c:pt>
                      <c:pt idx="75">
                        <c:v>64</c:v>
                      </c:pt>
                      <c:pt idx="76">
                        <c:v>64.710000000000008</c:v>
                      </c:pt>
                      <c:pt idx="77">
                        <c:v>67.849999999999994</c:v>
                      </c:pt>
                      <c:pt idx="78">
                        <c:v>66.34</c:v>
                      </c:pt>
                      <c:pt idx="79">
                        <c:v>65.59</c:v>
                      </c:pt>
                      <c:pt idx="80">
                        <c:v>66.080000000000013</c:v>
                      </c:pt>
                      <c:pt idx="81">
                        <c:v>66.210000000000008</c:v>
                      </c:pt>
                      <c:pt idx="82">
                        <c:v>67.5</c:v>
                      </c:pt>
                      <c:pt idx="83">
                        <c:v>69.84</c:v>
                      </c:pt>
                      <c:pt idx="84">
                        <c:v>71.789999999999992</c:v>
                      </c:pt>
                      <c:pt idx="85">
                        <c:v>72.16</c:v>
                      </c:pt>
                      <c:pt idx="86">
                        <c:v>72.949999999999989</c:v>
                      </c:pt>
                      <c:pt idx="87">
                        <c:v>74.37</c:v>
                      </c:pt>
                      <c:pt idx="88">
                        <c:v>75.009999999999991</c:v>
                      </c:pt>
                      <c:pt idx="89">
                        <c:v>75.06</c:v>
                      </c:pt>
                      <c:pt idx="90">
                        <c:v>74.669999999999987</c:v>
                      </c:pt>
                      <c:pt idx="91">
                        <c:v>74.47999999999999</c:v>
                      </c:pt>
                      <c:pt idx="92">
                        <c:v>75.900000000000006</c:v>
                      </c:pt>
                      <c:pt idx="93">
                        <c:v>76.099999999999994</c:v>
                      </c:pt>
                      <c:pt idx="94">
                        <c:v>74.81</c:v>
                      </c:pt>
                      <c:pt idx="95">
                        <c:v>72.990000000000009</c:v>
                      </c:pt>
                      <c:pt idx="96">
                        <c:v>72.539999999999992</c:v>
                      </c:pt>
                      <c:pt idx="97">
                        <c:v>70.419999999999987</c:v>
                      </c:pt>
                      <c:pt idx="98">
                        <c:v>67.210000000000008</c:v>
                      </c:pt>
                    </c:numCache>
                  </c:numRef>
                </c:val>
                <c:smooth val="0"/>
                <c:extLst xmlns:c15="http://schemas.microsoft.com/office/drawing/2012/chart">
                  <c:ext xmlns:c16="http://schemas.microsoft.com/office/drawing/2014/chart" uri="{C3380CC4-5D6E-409C-BE32-E72D297353CC}">
                    <c16:uniqueId val="{00000007-38AB-447C-9D57-9B8DC9FC34ED}"/>
                  </c:ext>
                </c:extLst>
              </c15:ser>
            </c15:filteredLineSeries>
            <c15:filteredLineSeries>
              <c15:ser>
                <c:idx val="7"/>
                <c:order val="7"/>
                <c:tx>
                  <c:strRef>
                    <c:extLst xmlns:c15="http://schemas.microsoft.com/office/drawing/2012/chart">
                      <c:ext xmlns:c15="http://schemas.microsoft.com/office/drawing/2012/chart" uri="{02D57815-91ED-43cb-92C2-25804820EDAC}">
                        <c15:formulaRef>
                          <c15:sqref>'pepsi dataset'!$I$1</c15:sqref>
                        </c15:formulaRef>
                      </c:ext>
                    </c:extLst>
                    <c:strCache>
                      <c:ptCount val="1"/>
                      <c:pt idx="0">
                        <c:v>PROFIT</c:v>
                      </c:pt>
                    </c:strCache>
                  </c:strRef>
                </c:tx>
                <c:spPr>
                  <a:ln w="28575" cap="rnd">
                    <a:solidFill>
                      <a:schemeClr val="accent2">
                        <a:shade val="68000"/>
                      </a:schemeClr>
                    </a:solidFill>
                    <a:round/>
                  </a:ln>
                  <a:effectLst/>
                </c:spPr>
                <c:marker>
                  <c:symbol val="none"/>
                </c:marker>
                <c:cat>
                  <c:strRef>
                    <c:extLst xmlns:c15="http://schemas.microsoft.com/office/drawing/2012/chart">
                      <c:ext xmlns:c15="http://schemas.microsoft.com/office/drawing/2012/chart" uri="{02D57815-91ED-43cb-92C2-25804820EDAC}">
                        <c15:formulaRef>
                          <c15:sqref>'pepsi dataset'!$A$2:$A$100</c15:sqref>
                        </c15:formulaRef>
                      </c:ext>
                    </c:extLst>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extLst xmlns:c15="http://schemas.microsoft.com/office/drawing/2012/chart">
                      <c:ext xmlns:c15="http://schemas.microsoft.com/office/drawing/2012/chart" uri="{02D57815-91ED-43cb-92C2-25804820EDAC}">
                        <c15:formulaRef>
                          <c15:sqref>'pepsi dataset'!$I$2:$I$100</c15:sqref>
                        </c15:formulaRef>
                      </c:ext>
                    </c:extLst>
                    <c:numCache>
                      <c:formatCode>_(* #,##0.00_);_(* \(#,##0.00\);_(* "-"??_);_(@_)</c:formatCode>
                      <c:ptCount val="99"/>
                      <c:pt idx="0">
                        <c:v>0.59000000000000341</c:v>
                      </c:pt>
                      <c:pt idx="1">
                        <c:v>1.0600000000000023</c:v>
                      </c:pt>
                      <c:pt idx="2">
                        <c:v>1.9099999999999966</c:v>
                      </c:pt>
                      <c:pt idx="3">
                        <c:v>9.9599999999999795</c:v>
                      </c:pt>
                      <c:pt idx="4">
                        <c:v>8.4499999999999886</c:v>
                      </c:pt>
                      <c:pt idx="5">
                        <c:v>8.5</c:v>
                      </c:pt>
                      <c:pt idx="6">
                        <c:v>6.3100000000000023</c:v>
                      </c:pt>
                      <c:pt idx="7">
                        <c:v>1.6200000000000045</c:v>
                      </c:pt>
                      <c:pt idx="8">
                        <c:v>-1.3900000000000148</c:v>
                      </c:pt>
                      <c:pt idx="9">
                        <c:v>-0.66000000000002501</c:v>
                      </c:pt>
                      <c:pt idx="10">
                        <c:v>-3.1399999999999864</c:v>
                      </c:pt>
                      <c:pt idx="11">
                        <c:v>-4.3400000000000034</c:v>
                      </c:pt>
                      <c:pt idx="12">
                        <c:v>-2.5900000000000034</c:v>
                      </c:pt>
                      <c:pt idx="13">
                        <c:v>-4.1400000000000148</c:v>
                      </c:pt>
                      <c:pt idx="14">
                        <c:v>-4.2399999999999807</c:v>
                      </c:pt>
                      <c:pt idx="15">
                        <c:v>-5.5699999999999932</c:v>
                      </c:pt>
                      <c:pt idx="16">
                        <c:v>-8.4850000000000136</c:v>
                      </c:pt>
                      <c:pt idx="17">
                        <c:v>-7.6399999999999864</c:v>
                      </c:pt>
                      <c:pt idx="18">
                        <c:v>-1.0099999999999909</c:v>
                      </c:pt>
                      <c:pt idx="19">
                        <c:v>-6.9999999999993179E-2</c:v>
                      </c:pt>
                      <c:pt idx="20">
                        <c:v>2.1450000000000102</c:v>
                      </c:pt>
                      <c:pt idx="21">
                        <c:v>4.2700000000000102</c:v>
                      </c:pt>
                      <c:pt idx="22">
                        <c:v>6.8600000000000136</c:v>
                      </c:pt>
                      <c:pt idx="23">
                        <c:v>8.3500000000000227</c:v>
                      </c:pt>
                      <c:pt idx="24">
                        <c:v>4.1100000000000136</c:v>
                      </c:pt>
                      <c:pt idx="25">
                        <c:v>4.2700000000000102</c:v>
                      </c:pt>
                      <c:pt idx="26">
                        <c:v>3.7199999999999989</c:v>
                      </c:pt>
                      <c:pt idx="27">
                        <c:v>4.5100000000000193</c:v>
                      </c:pt>
                      <c:pt idx="28">
                        <c:v>4.0200000000000102</c:v>
                      </c:pt>
                      <c:pt idx="29">
                        <c:v>1.8700000000000045</c:v>
                      </c:pt>
                      <c:pt idx="30">
                        <c:v>1.8799999999999955</c:v>
                      </c:pt>
                      <c:pt idx="31">
                        <c:v>0.71999999999999886</c:v>
                      </c:pt>
                      <c:pt idx="32">
                        <c:v>-0.61000000000001364</c:v>
                      </c:pt>
                      <c:pt idx="33">
                        <c:v>-7.3500000000000227</c:v>
                      </c:pt>
                      <c:pt idx="34">
                        <c:v>-5.8000000000000114</c:v>
                      </c:pt>
                      <c:pt idx="35">
                        <c:v>-9.3899999999999864</c:v>
                      </c:pt>
                      <c:pt idx="36">
                        <c:v>-9.2999999999999829</c:v>
                      </c:pt>
                      <c:pt idx="37">
                        <c:v>-1.25</c:v>
                      </c:pt>
                      <c:pt idx="38">
                        <c:v>-3.4899999999999807</c:v>
                      </c:pt>
                      <c:pt idx="39">
                        <c:v>-15.659999999999997</c:v>
                      </c:pt>
                      <c:pt idx="40">
                        <c:v>-16</c:v>
                      </c:pt>
                      <c:pt idx="41">
                        <c:v>-16.490000000000009</c:v>
                      </c:pt>
                      <c:pt idx="42">
                        <c:v>-19.629999999999995</c:v>
                      </c:pt>
                      <c:pt idx="43">
                        <c:v>-21.189999999999998</c:v>
                      </c:pt>
                      <c:pt idx="44">
                        <c:v>-23.66500000000002</c:v>
                      </c:pt>
                      <c:pt idx="45">
                        <c:v>-23.564999999999998</c:v>
                      </c:pt>
                      <c:pt idx="46">
                        <c:v>-23.539999999999992</c:v>
                      </c:pt>
                      <c:pt idx="47">
                        <c:v>-19.949999999999989</c:v>
                      </c:pt>
                      <c:pt idx="48">
                        <c:v>-16.160000000000025</c:v>
                      </c:pt>
                      <c:pt idx="49">
                        <c:v>-18.439999999999998</c:v>
                      </c:pt>
                      <c:pt idx="50">
                        <c:v>-16.539999999999992</c:v>
                      </c:pt>
                      <c:pt idx="51">
                        <c:v>-14.799999999999983</c:v>
                      </c:pt>
                      <c:pt idx="52">
                        <c:v>-16.149999999999977</c:v>
                      </c:pt>
                      <c:pt idx="53">
                        <c:v>-12.629999999999995</c:v>
                      </c:pt>
                      <c:pt idx="54">
                        <c:v>-13.509999999999991</c:v>
                      </c:pt>
                      <c:pt idx="55">
                        <c:v>-11.409999999999997</c:v>
                      </c:pt>
                      <c:pt idx="56">
                        <c:v>-6.5099999999999909</c:v>
                      </c:pt>
                      <c:pt idx="57">
                        <c:v>-5.9199999999999875</c:v>
                      </c:pt>
                      <c:pt idx="58">
                        <c:v>-4.3900000000000148</c:v>
                      </c:pt>
                      <c:pt idx="59">
                        <c:v>-2.539999999999992</c:v>
                      </c:pt>
                      <c:pt idx="60">
                        <c:v>-2.5</c:v>
                      </c:pt>
                      <c:pt idx="61">
                        <c:v>-4.6500000000000057</c:v>
                      </c:pt>
                      <c:pt idx="62">
                        <c:v>-2.3400000000000034</c:v>
                      </c:pt>
                      <c:pt idx="63">
                        <c:v>-0.78999999999999204</c:v>
                      </c:pt>
                      <c:pt idx="64">
                        <c:v>-2.4099999999999966</c:v>
                      </c:pt>
                      <c:pt idx="65">
                        <c:v>-3.75</c:v>
                      </c:pt>
                      <c:pt idx="66">
                        <c:v>-4.75</c:v>
                      </c:pt>
                      <c:pt idx="67">
                        <c:v>-8.0200000000000102</c:v>
                      </c:pt>
                      <c:pt idx="68">
                        <c:v>-6.0499999999999829</c:v>
                      </c:pt>
                      <c:pt idx="69">
                        <c:v>-0.78499999999999659</c:v>
                      </c:pt>
                      <c:pt idx="70">
                        <c:v>7.4000000000000057</c:v>
                      </c:pt>
                      <c:pt idx="71">
                        <c:v>8.2900000000000205</c:v>
                      </c:pt>
                      <c:pt idx="72">
                        <c:v>5.9500000000000171</c:v>
                      </c:pt>
                      <c:pt idx="73">
                        <c:v>3.3599999999999852</c:v>
                      </c:pt>
                      <c:pt idx="74">
                        <c:v>2.410000000000025</c:v>
                      </c:pt>
                      <c:pt idx="75">
                        <c:v>0.72999999999998977</c:v>
                      </c:pt>
                      <c:pt idx="76">
                        <c:v>2.7700000000000102</c:v>
                      </c:pt>
                      <c:pt idx="77">
                        <c:v>6.4199999999999875</c:v>
                      </c:pt>
                      <c:pt idx="78">
                        <c:v>3.0250000000000057</c:v>
                      </c:pt>
                      <c:pt idx="79">
                        <c:v>2.75</c:v>
                      </c:pt>
                      <c:pt idx="80">
                        <c:v>5.4800000000000182</c:v>
                      </c:pt>
                      <c:pt idx="81">
                        <c:v>5.2800000000000011</c:v>
                      </c:pt>
                      <c:pt idx="82">
                        <c:v>8.1500000000000057</c:v>
                      </c:pt>
                      <c:pt idx="83">
                        <c:v>11.930000000000007</c:v>
                      </c:pt>
                      <c:pt idx="84">
                        <c:v>12.789999999999992</c:v>
                      </c:pt>
                      <c:pt idx="85">
                        <c:v>11.949999999999989</c:v>
                      </c:pt>
                      <c:pt idx="86">
                        <c:v>13.859999999999985</c:v>
                      </c:pt>
                      <c:pt idx="87">
                        <c:v>16.840000000000003</c:v>
                      </c:pt>
                      <c:pt idx="88">
                        <c:v>17.159999999999997</c:v>
                      </c:pt>
                      <c:pt idx="89">
                        <c:v>19.319999999999993</c:v>
                      </c:pt>
                      <c:pt idx="90">
                        <c:v>19.639999999999986</c:v>
                      </c:pt>
                      <c:pt idx="91">
                        <c:v>21.389999999999986</c:v>
                      </c:pt>
                      <c:pt idx="92">
                        <c:v>25.039999999999992</c:v>
                      </c:pt>
                      <c:pt idx="93">
                        <c:v>23.689999999999998</c:v>
                      </c:pt>
                      <c:pt idx="94">
                        <c:v>24.310000000000002</c:v>
                      </c:pt>
                      <c:pt idx="95">
                        <c:v>20.460000000000008</c:v>
                      </c:pt>
                      <c:pt idx="96">
                        <c:v>21.25</c:v>
                      </c:pt>
                      <c:pt idx="97">
                        <c:v>17.759999999999991</c:v>
                      </c:pt>
                      <c:pt idx="98">
                        <c:v>15.409999999999997</c:v>
                      </c:pt>
                    </c:numCache>
                  </c:numRef>
                </c:val>
                <c:smooth val="0"/>
                <c:extLst xmlns:c15="http://schemas.microsoft.com/office/drawing/2012/chart">
                  <c:ext xmlns:c16="http://schemas.microsoft.com/office/drawing/2014/chart" uri="{C3380CC4-5D6E-409C-BE32-E72D297353CC}">
                    <c16:uniqueId val="{00000008-38AB-447C-9D57-9B8DC9FC34ED}"/>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'pepsi dataset'!$J$1</c15:sqref>
                        </c15:formulaRef>
                      </c:ext>
                    </c:extLst>
                    <c:strCache>
                      <c:ptCount val="1"/>
                      <c:pt idx="0">
                        <c:v>Revenue</c:v>
                      </c:pt>
                    </c:strCache>
                  </c:strRef>
                </c:tx>
                <c:spPr>
                  <a:ln w="28575" cap="rnd">
                    <a:solidFill>
                      <a:schemeClr val="accent2">
                        <a:shade val="55000"/>
                      </a:schemeClr>
                    </a:solidFill>
                    <a:round/>
                  </a:ln>
                  <a:effectLst/>
                </c:spPr>
                <c:marker>
                  <c:symbol val="none"/>
                </c:marker>
                <c:cat>
                  <c:strRef>
                    <c:extLst xmlns:c15="http://schemas.microsoft.com/office/drawing/2012/chart">
                      <c:ext xmlns:c15="http://schemas.microsoft.com/office/drawing/2012/chart" uri="{02D57815-91ED-43cb-92C2-25804820EDAC}">
                        <c15:formulaRef>
                          <c15:sqref>'pepsi dataset'!$A$2:$A$100</c15:sqref>
                        </c15:formulaRef>
                      </c:ext>
                    </c:extLst>
                    <c:strCache>
                      <c:ptCount val="99"/>
                      <c:pt idx="0">
                        <c:v>01/02/2025</c:v>
                      </c:pt>
                      <c:pt idx="1">
                        <c:v>01/03/2025</c:v>
                      </c:pt>
                      <c:pt idx="2">
                        <c:v>01/06/2025</c:v>
                      </c:pt>
                      <c:pt idx="3">
                        <c:v>01/07/2025</c:v>
                      </c:pt>
                      <c:pt idx="4">
                        <c:v>01/08/2025</c:v>
                      </c:pt>
                      <c:pt idx="5">
                        <c:v>01/10/2025</c:v>
                      </c:pt>
                      <c:pt idx="6">
                        <c:v>01/13/2025</c:v>
                      </c:pt>
                      <c:pt idx="7">
                        <c:v>01/14/2025</c:v>
                      </c:pt>
                      <c:pt idx="8">
                        <c:v>01/15/2025</c:v>
                      </c:pt>
                      <c:pt idx="9">
                        <c:v>01/16/2025</c:v>
                      </c:pt>
                      <c:pt idx="10">
                        <c:v>01/17/2025</c:v>
                      </c:pt>
                      <c:pt idx="11">
                        <c:v>01/21/2025</c:v>
                      </c:pt>
                      <c:pt idx="12">
                        <c:v>01/22/2025</c:v>
                      </c:pt>
                      <c:pt idx="13">
                        <c:v>01/23/2025</c:v>
                      </c:pt>
                      <c:pt idx="14">
                        <c:v>01/24/2025</c:v>
                      </c:pt>
                      <c:pt idx="15">
                        <c:v>01/27/2025</c:v>
                      </c:pt>
                      <c:pt idx="16">
                        <c:v>01/28/2025</c:v>
                      </c:pt>
                      <c:pt idx="17">
                        <c:v>01/29/2025</c:v>
                      </c:pt>
                      <c:pt idx="18">
                        <c:v>01/30/2025</c:v>
                      </c:pt>
                      <c:pt idx="19">
                        <c:v>01/31/2025</c:v>
                      </c:pt>
                      <c:pt idx="20">
                        <c:v>02/03/2025</c:v>
                      </c:pt>
                      <c:pt idx="21">
                        <c:v>02/04/2025</c:v>
                      </c:pt>
                      <c:pt idx="22">
                        <c:v>02/05/2025</c:v>
                      </c:pt>
                      <c:pt idx="23">
                        <c:v>02/06/2025</c:v>
                      </c:pt>
                      <c:pt idx="24">
                        <c:v>02/07/2025</c:v>
                      </c:pt>
                      <c:pt idx="25">
                        <c:v>02/10/2025</c:v>
                      </c:pt>
                      <c:pt idx="26">
                        <c:v>02/11/2025</c:v>
                      </c:pt>
                      <c:pt idx="27">
                        <c:v>02/12/2025</c:v>
                      </c:pt>
                      <c:pt idx="28">
                        <c:v>02/13/2025</c:v>
                      </c:pt>
                      <c:pt idx="29">
                        <c:v>02/14/2025</c:v>
                      </c:pt>
                      <c:pt idx="30">
                        <c:v>02/18/2025</c:v>
                      </c:pt>
                      <c:pt idx="31">
                        <c:v>02/19/2025</c:v>
                      </c:pt>
                      <c:pt idx="32">
                        <c:v>02/20/2025</c:v>
                      </c:pt>
                      <c:pt idx="33">
                        <c:v>02/21/2025</c:v>
                      </c:pt>
                      <c:pt idx="34">
                        <c:v>02/24/2025</c:v>
                      </c:pt>
                      <c:pt idx="35">
                        <c:v>02/25/2025</c:v>
                      </c:pt>
                      <c:pt idx="36">
                        <c:v>02/26/2025</c:v>
                      </c:pt>
                      <c:pt idx="37">
                        <c:v>02/27/2025</c:v>
                      </c:pt>
                      <c:pt idx="38">
                        <c:v>02/28/2025</c:v>
                      </c:pt>
                      <c:pt idx="39">
                        <c:v>10/07/2024</c:v>
                      </c:pt>
                      <c:pt idx="40">
                        <c:v>10/08/2024</c:v>
                      </c:pt>
                      <c:pt idx="41">
                        <c:v>10/09/2024</c:v>
                      </c:pt>
                      <c:pt idx="42">
                        <c:v>10/10/2024</c:v>
                      </c:pt>
                      <c:pt idx="43">
                        <c:v>10/11/2024</c:v>
                      </c:pt>
                      <c:pt idx="44">
                        <c:v>10/14/2024</c:v>
                      </c:pt>
                      <c:pt idx="45">
                        <c:v>10/15/2024</c:v>
                      </c:pt>
                      <c:pt idx="46">
                        <c:v>10/16/2024</c:v>
                      </c:pt>
                      <c:pt idx="47">
                        <c:v>10/17/2024</c:v>
                      </c:pt>
                      <c:pt idx="48">
                        <c:v>10/18/2024</c:v>
                      </c:pt>
                      <c:pt idx="49">
                        <c:v>10/21/2024</c:v>
                      </c:pt>
                      <c:pt idx="50">
                        <c:v>10/22/2024</c:v>
                      </c:pt>
                      <c:pt idx="51">
                        <c:v>10/23/2024</c:v>
                      </c:pt>
                      <c:pt idx="52">
                        <c:v>10/24/2024</c:v>
                      </c:pt>
                      <c:pt idx="53">
                        <c:v>10/25/2024</c:v>
                      </c:pt>
                      <c:pt idx="54">
                        <c:v>10/28/2024</c:v>
                      </c:pt>
                      <c:pt idx="55">
                        <c:v>10/29/2024</c:v>
                      </c:pt>
                      <c:pt idx="56">
                        <c:v>10/30/2024</c:v>
                      </c:pt>
                      <c:pt idx="57">
                        <c:v>10/31/2024</c:v>
                      </c:pt>
                      <c:pt idx="58">
                        <c:v>11/01/2024</c:v>
                      </c:pt>
                      <c:pt idx="59">
                        <c:v>11/04/2024</c:v>
                      </c:pt>
                      <c:pt idx="60">
                        <c:v>11/05/2024</c:v>
                      </c:pt>
                      <c:pt idx="61">
                        <c:v>11/06/2024</c:v>
                      </c:pt>
                      <c:pt idx="62">
                        <c:v>11/07/2024</c:v>
                      </c:pt>
                      <c:pt idx="63">
                        <c:v>11/08/2024</c:v>
                      </c:pt>
                      <c:pt idx="64">
                        <c:v>11/11/2024</c:v>
                      </c:pt>
                      <c:pt idx="65">
                        <c:v>11/12/2024</c:v>
                      </c:pt>
                      <c:pt idx="66">
                        <c:v>11/13/2024</c:v>
                      </c:pt>
                      <c:pt idx="67">
                        <c:v>11/14/2024</c:v>
                      </c:pt>
                      <c:pt idx="68">
                        <c:v>11/15/2024</c:v>
                      </c:pt>
                      <c:pt idx="69">
                        <c:v>11/18/2024</c:v>
                      </c:pt>
                      <c:pt idx="70">
                        <c:v>11/19/2024</c:v>
                      </c:pt>
                      <c:pt idx="71">
                        <c:v>11/20/2024</c:v>
                      </c:pt>
                      <c:pt idx="72">
                        <c:v>11/21/2024</c:v>
                      </c:pt>
                      <c:pt idx="73">
                        <c:v>11/22/2024</c:v>
                      </c:pt>
                      <c:pt idx="74">
                        <c:v>11/25/2024</c:v>
                      </c:pt>
                      <c:pt idx="75">
                        <c:v>11/26/2024</c:v>
                      </c:pt>
                      <c:pt idx="76">
                        <c:v>11/27/2024</c:v>
                      </c:pt>
                      <c:pt idx="77">
                        <c:v>11/29/2024</c:v>
                      </c:pt>
                      <c:pt idx="78">
                        <c:v>12/02/2024</c:v>
                      </c:pt>
                      <c:pt idx="79">
                        <c:v>12/03/2024</c:v>
                      </c:pt>
                      <c:pt idx="80">
                        <c:v>12/04/2024</c:v>
                      </c:pt>
                      <c:pt idx="81">
                        <c:v>12/05/2024</c:v>
                      </c:pt>
                      <c:pt idx="82">
                        <c:v>12/06/2024</c:v>
                      </c:pt>
                      <c:pt idx="83">
                        <c:v>12/09/2024</c:v>
                      </c:pt>
                      <c:pt idx="84">
                        <c:v>12/10/2024</c:v>
                      </c:pt>
                      <c:pt idx="85">
                        <c:v>12/11/2024</c:v>
                      </c:pt>
                      <c:pt idx="86">
                        <c:v>12/12/2024</c:v>
                      </c:pt>
                      <c:pt idx="87">
                        <c:v>12/13/2024</c:v>
                      </c:pt>
                      <c:pt idx="88">
                        <c:v>12/16/2024</c:v>
                      </c:pt>
                      <c:pt idx="89">
                        <c:v>12/17/2024</c:v>
                      </c:pt>
                      <c:pt idx="90">
                        <c:v>12/18/2024</c:v>
                      </c:pt>
                      <c:pt idx="91">
                        <c:v>12/19/2024</c:v>
                      </c:pt>
                      <c:pt idx="92">
                        <c:v>12/20/2024</c:v>
                      </c:pt>
                      <c:pt idx="93">
                        <c:v>12/23/2024</c:v>
                      </c:pt>
                      <c:pt idx="94">
                        <c:v>12/24/2024</c:v>
                      </c:pt>
                      <c:pt idx="95">
                        <c:v>12/26/2024</c:v>
                      </c:pt>
                      <c:pt idx="96">
                        <c:v>12/27/2024</c:v>
                      </c:pt>
                      <c:pt idx="97">
                        <c:v>12/30/2024</c:v>
                      </c:pt>
                      <c:pt idx="98">
                        <c:v>12/31/2024</c:v>
                      </c:pt>
                    </c:strCache>
                  </c:strRef>
                </c:cat>
                <c:val>
                  <c:numRef>
                    <c:extLst xmlns:c15="http://schemas.microsoft.com/office/drawing/2012/chart">
                      <c:ext xmlns:c15="http://schemas.microsoft.com/office/drawing/2012/chart" uri="{02D57815-91ED-43cb-92C2-25804820EDAC}">
                        <c15:formulaRef>
                          <c15:sqref>'pepsi dataset'!$J$2:$J$100</c15:sqref>
                        </c15:formulaRef>
                      </c:ext>
                    </c:extLst>
                    <c:numCache>
                      <c:formatCode>General</c:formatCode>
                      <c:ptCount val="99"/>
                      <c:pt idx="0">
                        <c:v>1297665431.53</c:v>
                      </c:pt>
                      <c:pt idx="1">
                        <c:v>1023244339.7</c:v>
                      </c:pt>
                      <c:pt idx="2">
                        <c:v>1375183393.6899998</c:v>
                      </c:pt>
                      <c:pt idx="3">
                        <c:v>1482019903.9799998</c:v>
                      </c:pt>
                      <c:pt idx="4">
                        <c:v>1105725796.3</c:v>
                      </c:pt>
                      <c:pt idx="5">
                        <c:v>1627775400</c:v>
                      </c:pt>
                      <c:pt idx="6">
                        <c:v>1012359925.5</c:v>
                      </c:pt>
                      <c:pt idx="7">
                        <c:v>842384176.13</c:v>
                      </c:pt>
                      <c:pt idx="8">
                        <c:v>1259250272.5</c:v>
                      </c:pt>
                      <c:pt idx="9">
                        <c:v>717208962.33999991</c:v>
                      </c:pt>
                      <c:pt idx="10">
                        <c:v>1037401404.08</c:v>
                      </c:pt>
                      <c:pt idx="11">
                        <c:v>958710906.23000002</c:v>
                      </c:pt>
                      <c:pt idx="12">
                        <c:v>925391462.5999999</c:v>
                      </c:pt>
                      <c:pt idx="13">
                        <c:v>1258066690.8499999</c:v>
                      </c:pt>
                      <c:pt idx="14">
                        <c:v>849023350.94000006</c:v>
                      </c:pt>
                      <c:pt idx="15">
                        <c:v>814668871.94999993</c:v>
                      </c:pt>
                      <c:pt idx="16">
                        <c:v>1347243424.4400001</c:v>
                      </c:pt>
                      <c:pt idx="17">
                        <c:v>1837382275.5</c:v>
                      </c:pt>
                      <c:pt idx="18">
                        <c:v>1081377031.29</c:v>
                      </c:pt>
                      <c:pt idx="19">
                        <c:v>739397253.36000001</c:v>
                      </c:pt>
                      <c:pt idx="20">
                        <c:v>709567128.20000005</c:v>
                      </c:pt>
                      <c:pt idx="21">
                        <c:v>732914206.63999999</c:v>
                      </c:pt>
                      <c:pt idx="22">
                        <c:v>954037917.5</c:v>
                      </c:pt>
                      <c:pt idx="23">
                        <c:v>1518360646.8500001</c:v>
                      </c:pt>
                      <c:pt idx="24">
                        <c:v>672464096</c:v>
                      </c:pt>
                      <c:pt idx="25">
                        <c:v>707301157.5</c:v>
                      </c:pt>
                      <c:pt idx="26">
                        <c:v>874480335.39999998</c:v>
                      </c:pt>
                      <c:pt idx="27">
                        <c:v>1107615836.1000001</c:v>
                      </c:pt>
                      <c:pt idx="28">
                        <c:v>1087987477.5</c:v>
                      </c:pt>
                      <c:pt idx="29">
                        <c:v>742670581.5999999</c:v>
                      </c:pt>
                      <c:pt idx="30">
                        <c:v>1033954332.9</c:v>
                      </c:pt>
                      <c:pt idx="31">
                        <c:v>1014135137.5999999</c:v>
                      </c:pt>
                      <c:pt idx="32">
                        <c:v>1170646231</c:v>
                      </c:pt>
                      <c:pt idx="33">
                        <c:v>1374001338.6399999</c:v>
                      </c:pt>
                      <c:pt idx="34">
                        <c:v>995277405.91999996</c:v>
                      </c:pt>
                      <c:pt idx="35">
                        <c:v>1086617820</c:v>
                      </c:pt>
                      <c:pt idx="36">
                        <c:v>1385268465.02</c:v>
                      </c:pt>
                      <c:pt idx="37">
                        <c:v>781418276.35000002</c:v>
                      </c:pt>
                      <c:pt idx="38">
                        <c:v>746578698.93000007</c:v>
                      </c:pt>
                      <c:pt idx="39">
                        <c:v>650050417.60000002</c:v>
                      </c:pt>
                      <c:pt idx="40">
                        <c:v>818835267.51999998</c:v>
                      </c:pt>
                      <c:pt idx="41">
                        <c:v>655440500.2299999</c:v>
                      </c:pt>
                      <c:pt idx="42">
                        <c:v>842930699.60000002</c:v>
                      </c:pt>
                      <c:pt idx="43">
                        <c:v>519523438</c:v>
                      </c:pt>
                      <c:pt idx="44">
                        <c:v>1032135479.28</c:v>
                      </c:pt>
                      <c:pt idx="45">
                        <c:v>2934356396.3999996</c:v>
                      </c:pt>
                      <c:pt idx="46">
                        <c:v>1488872698.8299999</c:v>
                      </c:pt>
                      <c:pt idx="47">
                        <c:v>1176890181.95</c:v>
                      </c:pt>
                      <c:pt idx="48">
                        <c:v>1026239518.3999999</c:v>
                      </c:pt>
                      <c:pt idx="49">
                        <c:v>1044786369.8000001</c:v>
                      </c:pt>
                      <c:pt idx="50">
                        <c:v>687778316.38</c:v>
                      </c:pt>
                      <c:pt idx="51">
                        <c:v>1088386662.3</c:v>
                      </c:pt>
                      <c:pt idx="52">
                        <c:v>1242547732.5600002</c:v>
                      </c:pt>
                      <c:pt idx="53">
                        <c:v>851851455.84000003</c:v>
                      </c:pt>
                      <c:pt idx="54">
                        <c:v>1336423344.8199999</c:v>
                      </c:pt>
                      <c:pt idx="55">
                        <c:v>1318992803.1399999</c:v>
                      </c:pt>
                      <c:pt idx="56">
                        <c:v>839305886.54000008</c:v>
                      </c:pt>
                      <c:pt idx="57">
                        <c:v>1115590428.9000001</c:v>
                      </c:pt>
                      <c:pt idx="58">
                        <c:v>691654286.39999998</c:v>
                      </c:pt>
                      <c:pt idx="59">
                        <c:v>809969136.60000002</c:v>
                      </c:pt>
                      <c:pt idx="60">
                        <c:v>457547546.39999998</c:v>
                      </c:pt>
                      <c:pt idx="61">
                        <c:v>589517148.96000004</c:v>
                      </c:pt>
                      <c:pt idx="62">
                        <c:v>754667018.72000003</c:v>
                      </c:pt>
                      <c:pt idx="63">
                        <c:v>1399033078.6500001</c:v>
                      </c:pt>
                      <c:pt idx="64">
                        <c:v>947093472</c:v>
                      </c:pt>
                      <c:pt idx="65">
                        <c:v>958350095.58000004</c:v>
                      </c:pt>
                      <c:pt idx="66">
                        <c:v>804376058.70000005</c:v>
                      </c:pt>
                      <c:pt idx="67">
                        <c:v>1292761966.0799999</c:v>
                      </c:pt>
                      <c:pt idx="68">
                        <c:v>1107049693.2</c:v>
                      </c:pt>
                      <c:pt idx="69">
                        <c:v>1444861331.76</c:v>
                      </c:pt>
                      <c:pt idx="70">
                        <c:v>895556427.75</c:v>
                      </c:pt>
                      <c:pt idx="71">
                        <c:v>682920279.82000005</c:v>
                      </c:pt>
                      <c:pt idx="72">
                        <c:v>885287254.5</c:v>
                      </c:pt>
                      <c:pt idx="73">
                        <c:v>617941027.93999994</c:v>
                      </c:pt>
                      <c:pt idx="74">
                        <c:v>762521734.1500001</c:v>
                      </c:pt>
                      <c:pt idx="75">
                        <c:v>874699248</c:v>
                      </c:pt>
                      <c:pt idx="76">
                        <c:v>1292859685.3900001</c:v>
                      </c:pt>
                      <c:pt idx="77">
                        <c:v>617471137.79999995</c:v>
                      </c:pt>
                      <c:pt idx="78">
                        <c:v>812649412.48000002</c:v>
                      </c:pt>
                      <c:pt idx="79">
                        <c:v>1049695046.39</c:v>
                      </c:pt>
                      <c:pt idx="80">
                        <c:v>927128811.84000003</c:v>
                      </c:pt>
                      <c:pt idx="81">
                        <c:v>798064129.61000001</c:v>
                      </c:pt>
                      <c:pt idx="82">
                        <c:v>858921575</c:v>
                      </c:pt>
                      <c:pt idx="83">
                        <c:v>880898088.39999998</c:v>
                      </c:pt>
                      <c:pt idx="84">
                        <c:v>763239434.76999998</c:v>
                      </c:pt>
                      <c:pt idx="85">
                        <c:v>730802500.48000002</c:v>
                      </c:pt>
                      <c:pt idx="86">
                        <c:v>657323109.29999995</c:v>
                      </c:pt>
                      <c:pt idx="87">
                        <c:v>660941115.24000001</c:v>
                      </c:pt>
                      <c:pt idx="88">
                        <c:v>1126454665.1599998</c:v>
                      </c:pt>
                      <c:pt idx="89">
                        <c:v>892310580.20000005</c:v>
                      </c:pt>
                      <c:pt idx="90">
                        <c:v>720672699.69999993</c:v>
                      </c:pt>
                      <c:pt idx="91">
                        <c:v>767860656.95999992</c:v>
                      </c:pt>
                      <c:pt idx="92">
                        <c:v>1020622811</c:v>
                      </c:pt>
                      <c:pt idx="93">
                        <c:v>798798052.79999995</c:v>
                      </c:pt>
                      <c:pt idx="94">
                        <c:v>825155468.19000006</c:v>
                      </c:pt>
                      <c:pt idx="95">
                        <c:v>915532967.96000004</c:v>
                      </c:pt>
                      <c:pt idx="96">
                        <c:v>1238410853.6599998</c:v>
                      </c:pt>
                      <c:pt idx="97">
                        <c:v>1414109712.6399999</c:v>
                      </c:pt>
                      <c:pt idx="98">
                        <c:v>912883998.25999999</c:v>
                      </c:pt>
                    </c:numCache>
                  </c:numRef>
                </c:val>
                <c:smooth val="0"/>
                <c:extLst xmlns:c15="http://schemas.microsoft.com/office/drawing/2012/chart">
                  <c:ext xmlns:c16="http://schemas.microsoft.com/office/drawing/2014/chart" uri="{C3380CC4-5D6E-409C-BE32-E72D297353CC}">
                    <c16:uniqueId val="{00000009-38AB-447C-9D57-9B8DC9FC34ED}"/>
                  </c:ext>
                </c:extLst>
              </c15:ser>
            </c15:filteredLineSeries>
          </c:ext>
        </c:extLst>
      </c:lineChart>
      <c:catAx>
        <c:axId val="12929600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2960991"/>
        <c:crosses val="autoZero"/>
        <c:auto val="1"/>
        <c:lblAlgn val="ctr"/>
        <c:lblOffset val="100"/>
        <c:noMultiLvlLbl val="0"/>
      </c:catAx>
      <c:valAx>
        <c:axId val="129296099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MOVING</a:t>
                </a:r>
                <a:r>
                  <a:rPr lang="en-IN" baseline="0"/>
                  <a:t> AVERAGE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2960031"/>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b="1"/>
              <a:t>Moving Average Trend</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3"/>
          <c:order val="3"/>
          <c:tx>
            <c:strRef>
              <c:f>'cocola dataset'!$E$1</c:f>
              <c:strCache>
                <c:ptCount val="1"/>
                <c:pt idx="0">
                  <c:v> Close/Last </c:v>
                </c:pt>
              </c:strCache>
            </c:strRef>
          </c:tx>
          <c:spPr>
            <a:solidFill>
              <a:schemeClr val="accent4"/>
            </a:solidFill>
            <a:ln>
              <a:noFill/>
            </a:ln>
            <a:effectLst/>
          </c:spPr>
          <c:invertIfNegative val="0"/>
          <c:cat>
            <c:strRef>
              <c:f>'cocola dataset'!$A$2:$A$100</c:f>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f>'cocola dataset'!$E$2:$E$100</c:f>
              <c:numCache>
                <c:formatCode>_(* #,##0.00_);_(* \(#,##0.00\);_(* "-"??_);_(@_)</c:formatCode>
                <c:ptCount val="99"/>
                <c:pt idx="0">
                  <c:v>71.209999999999994</c:v>
                </c:pt>
                <c:pt idx="1">
                  <c:v>70.87</c:v>
                </c:pt>
                <c:pt idx="2">
                  <c:v>70.8</c:v>
                </c:pt>
                <c:pt idx="3">
                  <c:v>71.489999999999995</c:v>
                </c:pt>
                <c:pt idx="4">
                  <c:v>70.59</c:v>
                </c:pt>
                <c:pt idx="5">
                  <c:v>71.349999999999994</c:v>
                </c:pt>
                <c:pt idx="6">
                  <c:v>70.040000000000006</c:v>
                </c:pt>
                <c:pt idx="7">
                  <c:v>70.069999999999993</c:v>
                </c:pt>
                <c:pt idx="8">
                  <c:v>69.05</c:v>
                </c:pt>
                <c:pt idx="9">
                  <c:v>68.87</c:v>
                </c:pt>
                <c:pt idx="10">
                  <c:v>69.5</c:v>
                </c:pt>
                <c:pt idx="11">
                  <c:v>68.709999999999994</c:v>
                </c:pt>
                <c:pt idx="12">
                  <c:v>67.599999999999994</c:v>
                </c:pt>
                <c:pt idx="13">
                  <c:v>64.55</c:v>
                </c:pt>
                <c:pt idx="14">
                  <c:v>63.84</c:v>
                </c:pt>
                <c:pt idx="15">
                  <c:v>63.36</c:v>
                </c:pt>
                <c:pt idx="16">
                  <c:v>63.12</c:v>
                </c:pt>
                <c:pt idx="17">
                  <c:v>62.67</c:v>
                </c:pt>
                <c:pt idx="18">
                  <c:v>63.35</c:v>
                </c:pt>
                <c:pt idx="19">
                  <c:v>63.48</c:v>
                </c:pt>
                <c:pt idx="20">
                  <c:v>64.05</c:v>
                </c:pt>
                <c:pt idx="21">
                  <c:v>62.83</c:v>
                </c:pt>
                <c:pt idx="22">
                  <c:v>62.36</c:v>
                </c:pt>
                <c:pt idx="23">
                  <c:v>63.87</c:v>
                </c:pt>
                <c:pt idx="24">
                  <c:v>61.92</c:v>
                </c:pt>
                <c:pt idx="25">
                  <c:v>61.53</c:v>
                </c:pt>
                <c:pt idx="26">
                  <c:v>61.78</c:v>
                </c:pt>
                <c:pt idx="27">
                  <c:v>62.42</c:v>
                </c:pt>
                <c:pt idx="28">
                  <c:v>62.71</c:v>
                </c:pt>
                <c:pt idx="29">
                  <c:v>62.25</c:v>
                </c:pt>
                <c:pt idx="30">
                  <c:v>61.77</c:v>
                </c:pt>
                <c:pt idx="31">
                  <c:v>62.04</c:v>
                </c:pt>
                <c:pt idx="32">
                  <c:v>61.65</c:v>
                </c:pt>
                <c:pt idx="33">
                  <c:v>61.07</c:v>
                </c:pt>
                <c:pt idx="34">
                  <c:v>61.71</c:v>
                </c:pt>
                <c:pt idx="35">
                  <c:v>60.84</c:v>
                </c:pt>
                <c:pt idx="36">
                  <c:v>60.81</c:v>
                </c:pt>
                <c:pt idx="37">
                  <c:v>61.75</c:v>
                </c:pt>
                <c:pt idx="38">
                  <c:v>61.84</c:v>
                </c:pt>
                <c:pt idx="39">
                  <c:v>62.26</c:v>
                </c:pt>
                <c:pt idx="40">
                  <c:v>62.03</c:v>
                </c:pt>
                <c:pt idx="41">
                  <c:v>62.45</c:v>
                </c:pt>
                <c:pt idx="42">
                  <c:v>62.57</c:v>
                </c:pt>
                <c:pt idx="43">
                  <c:v>62.84</c:v>
                </c:pt>
                <c:pt idx="44">
                  <c:v>62.38</c:v>
                </c:pt>
                <c:pt idx="45">
                  <c:v>62.55</c:v>
                </c:pt>
                <c:pt idx="46">
                  <c:v>62.45</c:v>
                </c:pt>
                <c:pt idx="47">
                  <c:v>62.85</c:v>
                </c:pt>
                <c:pt idx="48">
                  <c:v>63.4</c:v>
                </c:pt>
                <c:pt idx="49">
                  <c:v>62.55</c:v>
                </c:pt>
                <c:pt idx="50">
                  <c:v>63.12</c:v>
                </c:pt>
                <c:pt idx="51">
                  <c:v>63.84</c:v>
                </c:pt>
                <c:pt idx="52">
                  <c:v>62.64</c:v>
                </c:pt>
                <c:pt idx="53">
                  <c:v>62.91</c:v>
                </c:pt>
                <c:pt idx="54">
                  <c:v>62.6</c:v>
                </c:pt>
                <c:pt idx="55">
                  <c:v>62.53</c:v>
                </c:pt>
                <c:pt idx="56">
                  <c:v>62.92</c:v>
                </c:pt>
                <c:pt idx="57">
                  <c:v>62.21</c:v>
                </c:pt>
                <c:pt idx="58">
                  <c:v>63.52</c:v>
                </c:pt>
                <c:pt idx="59">
                  <c:v>63.65</c:v>
                </c:pt>
                <c:pt idx="60">
                  <c:v>64.08</c:v>
                </c:pt>
                <c:pt idx="61">
                  <c:v>64.430000000000007</c:v>
                </c:pt>
                <c:pt idx="62">
                  <c:v>64.55</c:v>
                </c:pt>
                <c:pt idx="63">
                  <c:v>64.38</c:v>
                </c:pt>
                <c:pt idx="64">
                  <c:v>63.92</c:v>
                </c:pt>
                <c:pt idx="65">
                  <c:v>63.76</c:v>
                </c:pt>
                <c:pt idx="66">
                  <c:v>62.99</c:v>
                </c:pt>
                <c:pt idx="67">
                  <c:v>62.59</c:v>
                </c:pt>
                <c:pt idx="68">
                  <c:v>61.86</c:v>
                </c:pt>
                <c:pt idx="69">
                  <c:v>61.74</c:v>
                </c:pt>
                <c:pt idx="70">
                  <c:v>62.55</c:v>
                </c:pt>
                <c:pt idx="71">
                  <c:v>63</c:v>
                </c:pt>
                <c:pt idx="72">
                  <c:v>63.2</c:v>
                </c:pt>
                <c:pt idx="73">
                  <c:v>63.36</c:v>
                </c:pt>
                <c:pt idx="74">
                  <c:v>63.92</c:v>
                </c:pt>
                <c:pt idx="75">
                  <c:v>63.66</c:v>
                </c:pt>
                <c:pt idx="76">
                  <c:v>63.7</c:v>
                </c:pt>
                <c:pt idx="77">
                  <c:v>65.37</c:v>
                </c:pt>
                <c:pt idx="78">
                  <c:v>65.11</c:v>
                </c:pt>
                <c:pt idx="79">
                  <c:v>65.010000000000005</c:v>
                </c:pt>
                <c:pt idx="80">
                  <c:v>65.31</c:v>
                </c:pt>
                <c:pt idx="81">
                  <c:v>65.92</c:v>
                </c:pt>
                <c:pt idx="82">
                  <c:v>65.56</c:v>
                </c:pt>
                <c:pt idx="83">
                  <c:v>66.67</c:v>
                </c:pt>
                <c:pt idx="84">
                  <c:v>66.92</c:v>
                </c:pt>
                <c:pt idx="85">
                  <c:v>67.3</c:v>
                </c:pt>
                <c:pt idx="86">
                  <c:v>68.010000000000005</c:v>
                </c:pt>
                <c:pt idx="87">
                  <c:v>69.45</c:v>
                </c:pt>
                <c:pt idx="88">
                  <c:v>69.45</c:v>
                </c:pt>
                <c:pt idx="89">
                  <c:v>70.44</c:v>
                </c:pt>
                <c:pt idx="90">
                  <c:v>69.900000000000006</c:v>
                </c:pt>
                <c:pt idx="91">
                  <c:v>70.569999999999993</c:v>
                </c:pt>
                <c:pt idx="92">
                  <c:v>70.34</c:v>
                </c:pt>
                <c:pt idx="93">
                  <c:v>70.34</c:v>
                </c:pt>
                <c:pt idx="94">
                  <c:v>69.569999999999993</c:v>
                </c:pt>
                <c:pt idx="95">
                  <c:v>69.25</c:v>
                </c:pt>
                <c:pt idx="96">
                  <c:v>69.569999999999993</c:v>
                </c:pt>
                <c:pt idx="97">
                  <c:v>69.180000000000007</c:v>
                </c:pt>
                <c:pt idx="98">
                  <c:v>69.010000000000005</c:v>
                </c:pt>
              </c:numCache>
            </c:numRef>
          </c:val>
          <c:extLst>
            <c:ext xmlns:c16="http://schemas.microsoft.com/office/drawing/2014/chart" uri="{C3380CC4-5D6E-409C-BE32-E72D297353CC}">
              <c16:uniqueId val="{00000000-A184-4945-8B10-089962E2EFDC}"/>
            </c:ext>
          </c:extLst>
        </c:ser>
        <c:dLbls>
          <c:showLegendKey val="0"/>
          <c:showVal val="0"/>
          <c:showCatName val="0"/>
          <c:showSerName val="0"/>
          <c:showPercent val="0"/>
          <c:showBubbleSize val="0"/>
        </c:dLbls>
        <c:gapWidth val="219"/>
        <c:overlap val="-27"/>
        <c:axId val="1292974911"/>
        <c:axId val="1292977311"/>
        <c:extLst>
          <c:ext xmlns:c15="http://schemas.microsoft.com/office/drawing/2012/chart" uri="{02D57815-91ED-43cb-92C2-25804820EDAC}">
            <c15:filteredBarSeries>
              <c15:ser>
                <c:idx val="0"/>
                <c:order val="0"/>
                <c:tx>
                  <c:strRef>
                    <c:extLst>
                      <c:ext uri="{02D57815-91ED-43cb-92C2-25804820EDAC}">
                        <c15:formulaRef>
                          <c15:sqref>'cocola dataset'!$B$1</c15:sqref>
                        </c15:formulaRef>
                      </c:ext>
                    </c:extLst>
                    <c:strCache>
                      <c:ptCount val="1"/>
                      <c:pt idx="0">
                        <c:v> Open </c:v>
                      </c:pt>
                    </c:strCache>
                  </c:strRef>
                </c:tx>
                <c:spPr>
                  <a:solidFill>
                    <a:schemeClr val="accent1"/>
                  </a:solidFill>
                  <a:ln>
                    <a:noFill/>
                  </a:ln>
                  <a:effectLst/>
                </c:spPr>
                <c:invertIfNegative val="0"/>
                <c:cat>
                  <c:strRef>
                    <c:extLst>
                      <c:ext uri="{02D57815-91ED-43cb-92C2-25804820EDAC}">
                        <c15:formulaRef>
                          <c15:sqref>'cocola dataset'!$A$2:$A$100</c15:sqref>
                        </c15:formulaRef>
                      </c:ext>
                    </c:extLst>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extLst>
                      <c:ext uri="{02D57815-91ED-43cb-92C2-25804820EDAC}">
                        <c15:formulaRef>
                          <c15:sqref>'cocola dataset'!$B$2:$B$100</c15:sqref>
                        </c15:formulaRef>
                      </c:ext>
                    </c:extLst>
                    <c:numCache>
                      <c:formatCode>_(* #,##0.00_);_(* \(#,##0.00\);_(* "-"??_);_(@_)</c:formatCode>
                      <c:ptCount val="99"/>
                      <c:pt idx="0">
                        <c:v>71.45</c:v>
                      </c:pt>
                      <c:pt idx="1">
                        <c:v>70.72</c:v>
                      </c:pt>
                      <c:pt idx="2">
                        <c:v>71.27</c:v>
                      </c:pt>
                      <c:pt idx="3">
                        <c:v>70.86</c:v>
                      </c:pt>
                      <c:pt idx="4">
                        <c:v>70.84</c:v>
                      </c:pt>
                      <c:pt idx="5">
                        <c:v>70.319999999999993</c:v>
                      </c:pt>
                      <c:pt idx="6">
                        <c:v>69.709999999999994</c:v>
                      </c:pt>
                      <c:pt idx="7">
                        <c:v>69.209999999999994</c:v>
                      </c:pt>
                      <c:pt idx="8">
                        <c:v>68.55</c:v>
                      </c:pt>
                      <c:pt idx="9">
                        <c:v>69.364999999999995</c:v>
                      </c:pt>
                      <c:pt idx="10">
                        <c:v>69</c:v>
                      </c:pt>
                      <c:pt idx="11">
                        <c:v>66.87</c:v>
                      </c:pt>
                      <c:pt idx="12">
                        <c:v>67.5</c:v>
                      </c:pt>
                      <c:pt idx="13">
                        <c:v>64.099999999999994</c:v>
                      </c:pt>
                      <c:pt idx="14">
                        <c:v>63.43</c:v>
                      </c:pt>
                      <c:pt idx="15">
                        <c:v>63.62</c:v>
                      </c:pt>
                      <c:pt idx="16">
                        <c:v>62.72</c:v>
                      </c:pt>
                      <c:pt idx="17">
                        <c:v>63.61</c:v>
                      </c:pt>
                      <c:pt idx="18">
                        <c:v>63.18</c:v>
                      </c:pt>
                      <c:pt idx="19">
                        <c:v>63.7</c:v>
                      </c:pt>
                      <c:pt idx="20">
                        <c:v>63.85</c:v>
                      </c:pt>
                      <c:pt idx="21">
                        <c:v>62.56</c:v>
                      </c:pt>
                      <c:pt idx="22">
                        <c:v>63.51</c:v>
                      </c:pt>
                      <c:pt idx="23">
                        <c:v>62.87</c:v>
                      </c:pt>
                      <c:pt idx="24">
                        <c:v>61.72</c:v>
                      </c:pt>
                      <c:pt idx="25">
                        <c:v>61.8</c:v>
                      </c:pt>
                      <c:pt idx="26">
                        <c:v>62.12</c:v>
                      </c:pt>
                      <c:pt idx="27">
                        <c:v>62.9</c:v>
                      </c:pt>
                      <c:pt idx="28">
                        <c:v>62.31</c:v>
                      </c:pt>
                      <c:pt idx="29">
                        <c:v>61.42</c:v>
                      </c:pt>
                      <c:pt idx="30">
                        <c:v>62.33</c:v>
                      </c:pt>
                      <c:pt idx="31">
                        <c:v>61.655000000000001</c:v>
                      </c:pt>
                      <c:pt idx="32">
                        <c:v>61.13</c:v>
                      </c:pt>
                      <c:pt idx="33">
                        <c:v>61.58</c:v>
                      </c:pt>
                      <c:pt idx="34">
                        <c:v>60.99</c:v>
                      </c:pt>
                      <c:pt idx="35">
                        <c:v>61.11</c:v>
                      </c:pt>
                      <c:pt idx="36">
                        <c:v>61.5</c:v>
                      </c:pt>
                      <c:pt idx="37">
                        <c:v>61.9</c:v>
                      </c:pt>
                      <c:pt idx="38">
                        <c:v>62.35</c:v>
                      </c:pt>
                      <c:pt idx="39">
                        <c:v>62.02</c:v>
                      </c:pt>
                      <c:pt idx="40">
                        <c:v>62.34</c:v>
                      </c:pt>
                      <c:pt idx="41">
                        <c:v>62.45</c:v>
                      </c:pt>
                      <c:pt idx="42">
                        <c:v>62.62</c:v>
                      </c:pt>
                      <c:pt idx="43">
                        <c:v>62.2</c:v>
                      </c:pt>
                      <c:pt idx="44">
                        <c:v>62.5</c:v>
                      </c:pt>
                      <c:pt idx="45">
                        <c:v>62.47</c:v>
                      </c:pt>
                      <c:pt idx="46">
                        <c:v>62.7</c:v>
                      </c:pt>
                      <c:pt idx="47">
                        <c:v>62.81</c:v>
                      </c:pt>
                      <c:pt idx="48">
                        <c:v>62.45</c:v>
                      </c:pt>
                      <c:pt idx="49">
                        <c:v>63.23</c:v>
                      </c:pt>
                      <c:pt idx="50">
                        <c:v>63.57</c:v>
                      </c:pt>
                      <c:pt idx="51">
                        <c:v>63.55</c:v>
                      </c:pt>
                      <c:pt idx="52">
                        <c:v>63</c:v>
                      </c:pt>
                      <c:pt idx="53">
                        <c:v>62.7</c:v>
                      </c:pt>
                      <c:pt idx="54">
                        <c:v>62.69</c:v>
                      </c:pt>
                      <c:pt idx="55">
                        <c:v>62.83</c:v>
                      </c:pt>
                      <c:pt idx="56">
                        <c:v>62.47</c:v>
                      </c:pt>
                      <c:pt idx="57">
                        <c:v>63.274999999999999</c:v>
                      </c:pt>
                      <c:pt idx="58">
                        <c:v>63.72</c:v>
                      </c:pt>
                      <c:pt idx="59">
                        <c:v>64.05</c:v>
                      </c:pt>
                      <c:pt idx="60">
                        <c:v>64.02</c:v>
                      </c:pt>
                      <c:pt idx="61">
                        <c:v>64.959999999999994</c:v>
                      </c:pt>
                      <c:pt idx="62">
                        <c:v>64.31</c:v>
                      </c:pt>
                      <c:pt idx="63">
                        <c:v>64.319999999999993</c:v>
                      </c:pt>
                      <c:pt idx="64">
                        <c:v>64.239999999999995</c:v>
                      </c:pt>
                      <c:pt idx="65">
                        <c:v>63.15</c:v>
                      </c:pt>
                      <c:pt idx="66">
                        <c:v>62.7</c:v>
                      </c:pt>
                      <c:pt idx="67">
                        <c:v>61.9</c:v>
                      </c:pt>
                      <c:pt idx="68">
                        <c:v>61.85</c:v>
                      </c:pt>
                      <c:pt idx="69">
                        <c:v>62.49</c:v>
                      </c:pt>
                      <c:pt idx="70">
                        <c:v>63.11</c:v>
                      </c:pt>
                      <c:pt idx="71">
                        <c:v>63.05</c:v>
                      </c:pt>
                      <c:pt idx="72">
                        <c:v>63.68</c:v>
                      </c:pt>
                      <c:pt idx="73">
                        <c:v>63.99</c:v>
                      </c:pt>
                      <c:pt idx="74">
                        <c:v>63.91</c:v>
                      </c:pt>
                      <c:pt idx="75">
                        <c:v>64.290000000000006</c:v>
                      </c:pt>
                      <c:pt idx="76">
                        <c:v>64.42</c:v>
                      </c:pt>
                      <c:pt idx="77">
                        <c:v>64.64</c:v>
                      </c:pt>
                      <c:pt idx="78">
                        <c:v>65.08</c:v>
                      </c:pt>
                      <c:pt idx="79">
                        <c:v>65.47</c:v>
                      </c:pt>
                      <c:pt idx="80">
                        <c:v>65.81</c:v>
                      </c:pt>
                      <c:pt idx="81">
                        <c:v>65.510000000000005</c:v>
                      </c:pt>
                      <c:pt idx="82">
                        <c:v>66.290000000000006</c:v>
                      </c:pt>
                      <c:pt idx="83">
                        <c:v>66.959999999999994</c:v>
                      </c:pt>
                      <c:pt idx="84">
                        <c:v>67.069999999999993</c:v>
                      </c:pt>
                      <c:pt idx="85">
                        <c:v>67.650000000000006</c:v>
                      </c:pt>
                      <c:pt idx="86">
                        <c:v>66.989999999999995</c:v>
                      </c:pt>
                      <c:pt idx="87">
                        <c:v>69</c:v>
                      </c:pt>
                      <c:pt idx="88">
                        <c:v>70</c:v>
                      </c:pt>
                      <c:pt idx="89">
                        <c:v>69.87</c:v>
                      </c:pt>
                      <c:pt idx="90">
                        <c:v>70.63</c:v>
                      </c:pt>
                      <c:pt idx="91">
                        <c:v>70.09</c:v>
                      </c:pt>
                      <c:pt idx="92">
                        <c:v>70.459999999999994</c:v>
                      </c:pt>
                      <c:pt idx="93">
                        <c:v>69.569999999999993</c:v>
                      </c:pt>
                      <c:pt idx="94">
                        <c:v>69.459999999999994</c:v>
                      </c:pt>
                      <c:pt idx="95">
                        <c:v>69.83</c:v>
                      </c:pt>
                      <c:pt idx="96">
                        <c:v>69.19</c:v>
                      </c:pt>
                      <c:pt idx="97">
                        <c:v>69.040000000000006</c:v>
                      </c:pt>
                      <c:pt idx="98">
                        <c:v>70.05</c:v>
                      </c:pt>
                    </c:numCache>
                  </c:numRef>
                </c:val>
                <c:extLst>
                  <c:ext xmlns:c16="http://schemas.microsoft.com/office/drawing/2014/chart" uri="{C3380CC4-5D6E-409C-BE32-E72D297353CC}">
                    <c16:uniqueId val="{00000002-A184-4945-8B10-089962E2EFDC}"/>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'cocola dataset'!$C$1</c15:sqref>
                        </c15:formulaRef>
                      </c:ext>
                    </c:extLst>
                    <c:strCache>
                      <c:ptCount val="1"/>
                      <c:pt idx="0">
                        <c:v> High </c:v>
                      </c:pt>
                    </c:strCache>
                  </c:strRef>
                </c:tx>
                <c:spPr>
                  <a:solidFill>
                    <a:schemeClr val="accent2"/>
                  </a:solidFill>
                  <a:ln>
                    <a:noFill/>
                  </a:ln>
                  <a:effectLst/>
                </c:spPr>
                <c:invertIfNegative val="0"/>
                <c:cat>
                  <c:strRef>
                    <c:extLst xmlns:c15="http://schemas.microsoft.com/office/drawing/2012/chart">
                      <c:ext xmlns:c15="http://schemas.microsoft.com/office/drawing/2012/chart" uri="{02D57815-91ED-43cb-92C2-25804820EDAC}">
                        <c15:formulaRef>
                          <c15:sqref>'cocola dataset'!$A$2:$A$100</c15:sqref>
                        </c15:formulaRef>
                      </c:ext>
                    </c:extLst>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extLst xmlns:c15="http://schemas.microsoft.com/office/drawing/2012/chart">
                      <c:ext xmlns:c15="http://schemas.microsoft.com/office/drawing/2012/chart" uri="{02D57815-91ED-43cb-92C2-25804820EDAC}">
                        <c15:formulaRef>
                          <c15:sqref>'cocola dataset'!$C$2:$C$100</c15:sqref>
                        </c15:formulaRef>
                      </c:ext>
                    </c:extLst>
                    <c:numCache>
                      <c:formatCode>_(* #,##0.00_);_(* \(#,##0.00\);_(* "-"??_);_(@_)</c:formatCode>
                      <c:ptCount val="99"/>
                      <c:pt idx="0">
                        <c:v>71.569999999999993</c:v>
                      </c:pt>
                      <c:pt idx="1">
                        <c:v>71.534999999999997</c:v>
                      </c:pt>
                      <c:pt idx="2">
                        <c:v>71.275000000000006</c:v>
                      </c:pt>
                      <c:pt idx="3">
                        <c:v>71.769900000000007</c:v>
                      </c:pt>
                      <c:pt idx="4">
                        <c:v>71.73</c:v>
                      </c:pt>
                      <c:pt idx="5">
                        <c:v>71.599999999999994</c:v>
                      </c:pt>
                      <c:pt idx="6">
                        <c:v>70.069999999999993</c:v>
                      </c:pt>
                      <c:pt idx="7">
                        <c:v>70.13</c:v>
                      </c:pt>
                      <c:pt idx="8">
                        <c:v>69.37</c:v>
                      </c:pt>
                      <c:pt idx="9">
                        <c:v>70.03</c:v>
                      </c:pt>
                      <c:pt idx="10">
                        <c:v>69.61</c:v>
                      </c:pt>
                      <c:pt idx="11">
                        <c:v>68.819999999999993</c:v>
                      </c:pt>
                      <c:pt idx="12">
                        <c:v>67.67</c:v>
                      </c:pt>
                      <c:pt idx="13">
                        <c:v>64.650000000000006</c:v>
                      </c:pt>
                      <c:pt idx="14">
                        <c:v>63.92</c:v>
                      </c:pt>
                      <c:pt idx="15">
                        <c:v>63.74</c:v>
                      </c:pt>
                      <c:pt idx="16">
                        <c:v>63.29</c:v>
                      </c:pt>
                      <c:pt idx="17">
                        <c:v>63.63</c:v>
                      </c:pt>
                      <c:pt idx="18">
                        <c:v>63.629899999999999</c:v>
                      </c:pt>
                      <c:pt idx="19">
                        <c:v>63.93</c:v>
                      </c:pt>
                      <c:pt idx="20">
                        <c:v>64.284999999999997</c:v>
                      </c:pt>
                      <c:pt idx="21">
                        <c:v>63.36</c:v>
                      </c:pt>
                      <c:pt idx="22">
                        <c:v>64.040000000000006</c:v>
                      </c:pt>
                      <c:pt idx="23">
                        <c:v>64.180000000000007</c:v>
                      </c:pt>
                      <c:pt idx="24">
                        <c:v>62.01</c:v>
                      </c:pt>
                      <c:pt idx="25">
                        <c:v>61.98</c:v>
                      </c:pt>
                      <c:pt idx="26">
                        <c:v>62.284999999999997</c:v>
                      </c:pt>
                      <c:pt idx="27">
                        <c:v>63.23</c:v>
                      </c:pt>
                      <c:pt idx="28">
                        <c:v>62.765000000000001</c:v>
                      </c:pt>
                      <c:pt idx="29">
                        <c:v>62.3</c:v>
                      </c:pt>
                      <c:pt idx="30">
                        <c:v>62.62</c:v>
                      </c:pt>
                      <c:pt idx="31">
                        <c:v>62.064999999999998</c:v>
                      </c:pt>
                      <c:pt idx="32">
                        <c:v>61.844999999999999</c:v>
                      </c:pt>
                      <c:pt idx="33">
                        <c:v>61.65</c:v>
                      </c:pt>
                      <c:pt idx="34">
                        <c:v>61.77</c:v>
                      </c:pt>
                      <c:pt idx="35">
                        <c:v>61.717500000000001</c:v>
                      </c:pt>
                      <c:pt idx="36">
                        <c:v>61.564999999999998</c:v>
                      </c:pt>
                      <c:pt idx="37">
                        <c:v>62.075000000000003</c:v>
                      </c:pt>
                      <c:pt idx="38">
                        <c:v>62.75</c:v>
                      </c:pt>
                      <c:pt idx="39">
                        <c:v>62.43</c:v>
                      </c:pt>
                      <c:pt idx="40">
                        <c:v>62.34</c:v>
                      </c:pt>
                      <c:pt idx="41">
                        <c:v>62.95</c:v>
                      </c:pt>
                      <c:pt idx="42">
                        <c:v>62.74</c:v>
                      </c:pt>
                      <c:pt idx="43">
                        <c:v>62.84</c:v>
                      </c:pt>
                      <c:pt idx="44">
                        <c:v>62.76</c:v>
                      </c:pt>
                      <c:pt idx="45">
                        <c:v>63.06</c:v>
                      </c:pt>
                      <c:pt idx="46">
                        <c:v>63.17</c:v>
                      </c:pt>
                      <c:pt idx="47">
                        <c:v>63.64</c:v>
                      </c:pt>
                      <c:pt idx="48">
                        <c:v>63.55</c:v>
                      </c:pt>
                      <c:pt idx="49">
                        <c:v>63.86</c:v>
                      </c:pt>
                      <c:pt idx="50">
                        <c:v>63.835000000000001</c:v>
                      </c:pt>
                      <c:pt idx="51">
                        <c:v>63.92</c:v>
                      </c:pt>
                      <c:pt idx="52">
                        <c:v>63.63</c:v>
                      </c:pt>
                      <c:pt idx="53">
                        <c:v>63.04</c:v>
                      </c:pt>
                      <c:pt idx="54">
                        <c:v>62.929000000000002</c:v>
                      </c:pt>
                      <c:pt idx="55">
                        <c:v>63.36</c:v>
                      </c:pt>
                      <c:pt idx="56">
                        <c:v>63.12</c:v>
                      </c:pt>
                      <c:pt idx="57">
                        <c:v>63.35</c:v>
                      </c:pt>
                      <c:pt idx="58">
                        <c:v>64.08</c:v>
                      </c:pt>
                      <c:pt idx="59">
                        <c:v>64.19</c:v>
                      </c:pt>
                      <c:pt idx="60">
                        <c:v>64.25</c:v>
                      </c:pt>
                      <c:pt idx="61">
                        <c:v>65.099999999999994</c:v>
                      </c:pt>
                      <c:pt idx="62">
                        <c:v>64.64</c:v>
                      </c:pt>
                      <c:pt idx="63">
                        <c:v>64.709999999999994</c:v>
                      </c:pt>
                      <c:pt idx="64">
                        <c:v>64.48</c:v>
                      </c:pt>
                      <c:pt idx="65">
                        <c:v>63.81</c:v>
                      </c:pt>
                      <c:pt idx="66">
                        <c:v>63.01</c:v>
                      </c:pt>
                      <c:pt idx="67">
                        <c:v>62.62</c:v>
                      </c:pt>
                      <c:pt idx="68">
                        <c:v>62.14</c:v>
                      </c:pt>
                      <c:pt idx="69">
                        <c:v>62.63</c:v>
                      </c:pt>
                      <c:pt idx="70">
                        <c:v>63.11</c:v>
                      </c:pt>
                      <c:pt idx="71">
                        <c:v>63.26</c:v>
                      </c:pt>
                      <c:pt idx="72">
                        <c:v>63.75</c:v>
                      </c:pt>
                      <c:pt idx="73">
                        <c:v>64.12</c:v>
                      </c:pt>
                      <c:pt idx="74">
                        <c:v>64.239999999999995</c:v>
                      </c:pt>
                      <c:pt idx="75">
                        <c:v>64.39</c:v>
                      </c:pt>
                      <c:pt idx="76">
                        <c:v>64.86</c:v>
                      </c:pt>
                      <c:pt idx="77">
                        <c:v>65.469800000000006</c:v>
                      </c:pt>
                      <c:pt idx="78">
                        <c:v>65.42</c:v>
                      </c:pt>
                      <c:pt idx="79">
                        <c:v>65.66</c:v>
                      </c:pt>
                      <c:pt idx="80">
                        <c:v>65.989999999999995</c:v>
                      </c:pt>
                      <c:pt idx="81">
                        <c:v>66.534999999999997</c:v>
                      </c:pt>
                      <c:pt idx="82">
                        <c:v>66.34</c:v>
                      </c:pt>
                      <c:pt idx="83">
                        <c:v>67.394999999999996</c:v>
                      </c:pt>
                      <c:pt idx="84">
                        <c:v>67.7</c:v>
                      </c:pt>
                      <c:pt idx="85">
                        <c:v>68.040000000000006</c:v>
                      </c:pt>
                      <c:pt idx="86">
                        <c:v>68.7</c:v>
                      </c:pt>
                      <c:pt idx="87">
                        <c:v>69.745000000000005</c:v>
                      </c:pt>
                      <c:pt idx="88">
                        <c:v>70.325000000000003</c:v>
                      </c:pt>
                      <c:pt idx="89">
                        <c:v>70.55</c:v>
                      </c:pt>
                      <c:pt idx="90">
                        <c:v>70.69</c:v>
                      </c:pt>
                      <c:pt idx="91">
                        <c:v>70.7</c:v>
                      </c:pt>
                      <c:pt idx="92">
                        <c:v>71.209999999999994</c:v>
                      </c:pt>
                      <c:pt idx="93">
                        <c:v>70.47</c:v>
                      </c:pt>
                      <c:pt idx="94">
                        <c:v>69.59</c:v>
                      </c:pt>
                      <c:pt idx="95">
                        <c:v>69.91</c:v>
                      </c:pt>
                      <c:pt idx="96">
                        <c:v>69.739999999999995</c:v>
                      </c:pt>
                      <c:pt idx="97">
                        <c:v>69.44</c:v>
                      </c:pt>
                      <c:pt idx="98">
                        <c:v>70.099999999999994</c:v>
                      </c:pt>
                    </c:numCache>
                  </c:numRef>
                </c:val>
                <c:extLst xmlns:c15="http://schemas.microsoft.com/office/drawing/2012/chart">
                  <c:ext xmlns:c16="http://schemas.microsoft.com/office/drawing/2014/chart" uri="{C3380CC4-5D6E-409C-BE32-E72D297353CC}">
                    <c16:uniqueId val="{00000003-A184-4945-8B10-089962E2EFDC}"/>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'cocola dataset'!$D$1</c15:sqref>
                        </c15:formulaRef>
                      </c:ext>
                    </c:extLst>
                    <c:strCache>
                      <c:ptCount val="1"/>
                      <c:pt idx="0">
                        <c:v> Low </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'cocola dataset'!$A$2:$A$100</c15:sqref>
                        </c15:formulaRef>
                      </c:ext>
                    </c:extLst>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extLst xmlns:c15="http://schemas.microsoft.com/office/drawing/2012/chart">
                      <c:ext xmlns:c15="http://schemas.microsoft.com/office/drawing/2012/chart" uri="{02D57815-91ED-43cb-92C2-25804820EDAC}">
                        <c15:formulaRef>
                          <c15:sqref>'cocola dataset'!$D$2:$D$100</c15:sqref>
                        </c15:formulaRef>
                      </c:ext>
                    </c:extLst>
                    <c:numCache>
                      <c:formatCode>_(* #,##0.00_);_(* \(#,##0.00\);_(* "-"??_);_(@_)</c:formatCode>
                      <c:ptCount val="99"/>
                      <c:pt idx="0">
                        <c:v>70.56</c:v>
                      </c:pt>
                      <c:pt idx="1">
                        <c:v>70.42</c:v>
                      </c:pt>
                      <c:pt idx="2">
                        <c:v>70.525000000000006</c:v>
                      </c:pt>
                      <c:pt idx="3">
                        <c:v>70.73</c:v>
                      </c:pt>
                      <c:pt idx="4">
                        <c:v>70.33</c:v>
                      </c:pt>
                      <c:pt idx="5">
                        <c:v>70.13</c:v>
                      </c:pt>
                      <c:pt idx="6">
                        <c:v>69.42</c:v>
                      </c:pt>
                      <c:pt idx="7">
                        <c:v>69.17</c:v>
                      </c:pt>
                      <c:pt idx="8">
                        <c:v>68.42</c:v>
                      </c:pt>
                      <c:pt idx="9">
                        <c:v>68.760000000000005</c:v>
                      </c:pt>
                      <c:pt idx="10">
                        <c:v>68.762</c:v>
                      </c:pt>
                      <c:pt idx="11">
                        <c:v>66.87</c:v>
                      </c:pt>
                      <c:pt idx="12">
                        <c:v>66.41</c:v>
                      </c:pt>
                      <c:pt idx="13">
                        <c:v>63.66</c:v>
                      </c:pt>
                      <c:pt idx="14">
                        <c:v>63.27</c:v>
                      </c:pt>
                      <c:pt idx="15">
                        <c:v>62.91</c:v>
                      </c:pt>
                      <c:pt idx="16">
                        <c:v>62.585000000000001</c:v>
                      </c:pt>
                      <c:pt idx="17">
                        <c:v>62.35</c:v>
                      </c:pt>
                      <c:pt idx="18">
                        <c:v>62.43</c:v>
                      </c:pt>
                      <c:pt idx="19">
                        <c:v>63.39</c:v>
                      </c:pt>
                      <c:pt idx="20">
                        <c:v>63.23</c:v>
                      </c:pt>
                      <c:pt idx="21">
                        <c:v>62.55</c:v>
                      </c:pt>
                      <c:pt idx="22">
                        <c:v>62.28</c:v>
                      </c:pt>
                      <c:pt idx="23">
                        <c:v>62.472999999999999</c:v>
                      </c:pt>
                      <c:pt idx="24">
                        <c:v>61.435000000000002</c:v>
                      </c:pt>
                      <c:pt idx="25">
                        <c:v>61.37</c:v>
                      </c:pt>
                      <c:pt idx="26">
                        <c:v>61.66</c:v>
                      </c:pt>
                      <c:pt idx="27">
                        <c:v>62.3</c:v>
                      </c:pt>
                      <c:pt idx="28">
                        <c:v>62.17</c:v>
                      </c:pt>
                      <c:pt idx="29">
                        <c:v>61.32</c:v>
                      </c:pt>
                      <c:pt idx="30">
                        <c:v>61.68</c:v>
                      </c:pt>
                      <c:pt idx="31">
                        <c:v>61.3</c:v>
                      </c:pt>
                      <c:pt idx="32">
                        <c:v>60.71</c:v>
                      </c:pt>
                      <c:pt idx="33">
                        <c:v>60.73</c:v>
                      </c:pt>
                      <c:pt idx="34">
                        <c:v>60.93</c:v>
                      </c:pt>
                      <c:pt idx="35">
                        <c:v>60.615000000000002</c:v>
                      </c:pt>
                      <c:pt idx="36">
                        <c:v>60.66</c:v>
                      </c:pt>
                      <c:pt idx="37">
                        <c:v>61.62</c:v>
                      </c:pt>
                      <c:pt idx="38">
                        <c:v>61.62</c:v>
                      </c:pt>
                      <c:pt idx="39">
                        <c:v>61.8</c:v>
                      </c:pt>
                      <c:pt idx="40">
                        <c:v>61.68</c:v>
                      </c:pt>
                      <c:pt idx="41">
                        <c:v>62.209000000000003</c:v>
                      </c:pt>
                      <c:pt idx="42">
                        <c:v>62.4</c:v>
                      </c:pt>
                      <c:pt idx="43">
                        <c:v>62.01</c:v>
                      </c:pt>
                      <c:pt idx="44">
                        <c:v>61.531799999999997</c:v>
                      </c:pt>
                      <c:pt idx="45">
                        <c:v>62.28</c:v>
                      </c:pt>
                      <c:pt idx="46">
                        <c:v>62.4</c:v>
                      </c:pt>
                      <c:pt idx="47">
                        <c:v>62.79</c:v>
                      </c:pt>
                      <c:pt idx="48">
                        <c:v>62.32</c:v>
                      </c:pt>
                      <c:pt idx="49">
                        <c:v>62.35</c:v>
                      </c:pt>
                      <c:pt idx="50">
                        <c:v>63.11</c:v>
                      </c:pt>
                      <c:pt idx="51">
                        <c:v>63.22</c:v>
                      </c:pt>
                      <c:pt idx="52">
                        <c:v>62.4</c:v>
                      </c:pt>
                      <c:pt idx="53">
                        <c:v>61.79</c:v>
                      </c:pt>
                      <c:pt idx="54">
                        <c:v>61.9</c:v>
                      </c:pt>
                      <c:pt idx="55">
                        <c:v>62.51</c:v>
                      </c:pt>
                      <c:pt idx="56">
                        <c:v>62.1</c:v>
                      </c:pt>
                      <c:pt idx="57">
                        <c:v>61.9</c:v>
                      </c:pt>
                      <c:pt idx="58">
                        <c:v>63.024999999999999</c:v>
                      </c:pt>
                      <c:pt idx="59">
                        <c:v>63.344999999999999</c:v>
                      </c:pt>
                      <c:pt idx="60">
                        <c:v>63.77</c:v>
                      </c:pt>
                      <c:pt idx="61">
                        <c:v>64.25</c:v>
                      </c:pt>
                      <c:pt idx="62">
                        <c:v>64.06</c:v>
                      </c:pt>
                      <c:pt idx="63">
                        <c:v>63.84</c:v>
                      </c:pt>
                      <c:pt idx="64">
                        <c:v>63.65</c:v>
                      </c:pt>
                      <c:pt idx="65">
                        <c:v>62.95</c:v>
                      </c:pt>
                      <c:pt idx="66">
                        <c:v>62.02</c:v>
                      </c:pt>
                      <c:pt idx="67">
                        <c:v>61.63</c:v>
                      </c:pt>
                      <c:pt idx="68">
                        <c:v>61.56</c:v>
                      </c:pt>
                      <c:pt idx="69">
                        <c:v>61.39</c:v>
                      </c:pt>
                      <c:pt idx="70">
                        <c:v>62.43</c:v>
                      </c:pt>
                      <c:pt idx="71">
                        <c:v>62.49</c:v>
                      </c:pt>
                      <c:pt idx="72">
                        <c:v>63.12</c:v>
                      </c:pt>
                      <c:pt idx="73">
                        <c:v>63.250900000000001</c:v>
                      </c:pt>
                      <c:pt idx="74">
                        <c:v>63.74</c:v>
                      </c:pt>
                      <c:pt idx="75">
                        <c:v>63.6</c:v>
                      </c:pt>
                      <c:pt idx="76">
                        <c:v>63.18</c:v>
                      </c:pt>
                      <c:pt idx="77">
                        <c:v>64.64</c:v>
                      </c:pt>
                      <c:pt idx="78">
                        <c:v>64.650700000000001</c:v>
                      </c:pt>
                      <c:pt idx="79">
                        <c:v>64.89</c:v>
                      </c:pt>
                      <c:pt idx="80">
                        <c:v>65.254999999999995</c:v>
                      </c:pt>
                      <c:pt idx="81">
                        <c:v>65.319999999999993</c:v>
                      </c:pt>
                      <c:pt idx="82">
                        <c:v>65.52</c:v>
                      </c:pt>
                      <c:pt idx="83">
                        <c:v>66.599999999999994</c:v>
                      </c:pt>
                      <c:pt idx="84">
                        <c:v>66.790000000000006</c:v>
                      </c:pt>
                      <c:pt idx="85">
                        <c:v>66.951999999999998</c:v>
                      </c:pt>
                      <c:pt idx="86">
                        <c:v>66.58</c:v>
                      </c:pt>
                      <c:pt idx="87">
                        <c:v>68.680000000000007</c:v>
                      </c:pt>
                      <c:pt idx="88">
                        <c:v>69.305000000000007</c:v>
                      </c:pt>
                      <c:pt idx="89">
                        <c:v>69.605000000000004</c:v>
                      </c:pt>
                      <c:pt idx="90">
                        <c:v>69.58</c:v>
                      </c:pt>
                      <c:pt idx="91">
                        <c:v>69.97</c:v>
                      </c:pt>
                      <c:pt idx="92">
                        <c:v>70.16</c:v>
                      </c:pt>
                      <c:pt idx="93">
                        <c:v>69.47</c:v>
                      </c:pt>
                      <c:pt idx="94">
                        <c:v>68.995000000000005</c:v>
                      </c:pt>
                      <c:pt idx="95">
                        <c:v>68.984999999999999</c:v>
                      </c:pt>
                      <c:pt idx="96">
                        <c:v>69.069999999999993</c:v>
                      </c:pt>
                      <c:pt idx="97">
                        <c:v>68.86</c:v>
                      </c:pt>
                      <c:pt idx="98">
                        <c:v>68.87</c:v>
                      </c:pt>
                    </c:numCache>
                  </c:numRef>
                </c:val>
                <c:extLst xmlns:c15="http://schemas.microsoft.com/office/drawing/2012/chart">
                  <c:ext xmlns:c16="http://schemas.microsoft.com/office/drawing/2014/chart" uri="{C3380CC4-5D6E-409C-BE32-E72D297353CC}">
                    <c16:uniqueId val="{00000004-A184-4945-8B10-089962E2EFDC}"/>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'cocola dataset'!$F$1</c15:sqref>
                        </c15:formulaRef>
                      </c:ext>
                    </c:extLst>
                    <c:strCache>
                      <c:ptCount val="1"/>
                      <c:pt idx="0">
                        <c:v> Volume </c:v>
                      </c:pt>
                    </c:strCache>
                  </c:strRef>
                </c:tx>
                <c:spPr>
                  <a:solidFill>
                    <a:schemeClr val="accent5"/>
                  </a:solidFill>
                  <a:ln>
                    <a:noFill/>
                  </a:ln>
                  <a:effectLst/>
                </c:spPr>
                <c:invertIfNegative val="0"/>
                <c:cat>
                  <c:strRef>
                    <c:extLst xmlns:c15="http://schemas.microsoft.com/office/drawing/2012/chart">
                      <c:ext xmlns:c15="http://schemas.microsoft.com/office/drawing/2012/chart" uri="{02D57815-91ED-43cb-92C2-25804820EDAC}">
                        <c15:formulaRef>
                          <c15:sqref>'cocola dataset'!$A$2:$A$100</c15:sqref>
                        </c15:formulaRef>
                      </c:ext>
                    </c:extLst>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extLst xmlns:c15="http://schemas.microsoft.com/office/drawing/2012/chart">
                      <c:ext xmlns:c15="http://schemas.microsoft.com/office/drawing/2012/chart" uri="{02D57815-91ED-43cb-92C2-25804820EDAC}">
                        <c15:formulaRef>
                          <c15:sqref>'cocola dataset'!$F$2:$F$100</c15:sqref>
                        </c15:formulaRef>
                      </c:ext>
                    </c:extLst>
                    <c:numCache>
                      <c:formatCode>_(* #,##0.00_);_(* \(#,##0.00\);_(* "-"??_);_(@_)</c:formatCode>
                      <c:ptCount val="99"/>
                      <c:pt idx="0">
                        <c:v>22167380</c:v>
                      </c:pt>
                      <c:pt idx="1">
                        <c:v>16789480</c:v>
                      </c:pt>
                      <c:pt idx="2">
                        <c:v>14531180</c:v>
                      </c:pt>
                      <c:pt idx="3">
                        <c:v>21555590</c:v>
                      </c:pt>
                      <c:pt idx="4">
                        <c:v>21418440</c:v>
                      </c:pt>
                      <c:pt idx="5">
                        <c:v>21662250</c:v>
                      </c:pt>
                      <c:pt idx="6">
                        <c:v>13398010</c:v>
                      </c:pt>
                      <c:pt idx="7">
                        <c:v>16032270</c:v>
                      </c:pt>
                      <c:pt idx="8">
                        <c:v>15569120</c:v>
                      </c:pt>
                      <c:pt idx="9">
                        <c:v>20779090</c:v>
                      </c:pt>
                      <c:pt idx="10">
                        <c:v>24393150</c:v>
                      </c:pt>
                      <c:pt idx="11">
                        <c:v>26033760</c:v>
                      </c:pt>
                      <c:pt idx="12">
                        <c:v>30589150</c:v>
                      </c:pt>
                      <c:pt idx="13">
                        <c:v>16154300</c:v>
                      </c:pt>
                      <c:pt idx="14">
                        <c:v>13184670</c:v>
                      </c:pt>
                      <c:pt idx="15">
                        <c:v>13423410</c:v>
                      </c:pt>
                      <c:pt idx="16">
                        <c:v>10686750</c:v>
                      </c:pt>
                      <c:pt idx="17">
                        <c:v>15678000</c:v>
                      </c:pt>
                      <c:pt idx="18">
                        <c:v>12067880</c:v>
                      </c:pt>
                      <c:pt idx="19">
                        <c:v>12102060</c:v>
                      </c:pt>
                      <c:pt idx="20">
                        <c:v>13200980</c:v>
                      </c:pt>
                      <c:pt idx="21">
                        <c:v>11325640</c:v>
                      </c:pt>
                      <c:pt idx="22">
                        <c:v>14956030</c:v>
                      </c:pt>
                      <c:pt idx="23">
                        <c:v>20742920</c:v>
                      </c:pt>
                      <c:pt idx="24">
                        <c:v>19244600</c:v>
                      </c:pt>
                      <c:pt idx="25">
                        <c:v>16528420</c:v>
                      </c:pt>
                      <c:pt idx="26">
                        <c:v>18191890</c:v>
                      </c:pt>
                      <c:pt idx="27">
                        <c:v>19817070</c:v>
                      </c:pt>
                      <c:pt idx="28">
                        <c:v>17948870</c:v>
                      </c:pt>
                      <c:pt idx="29">
                        <c:v>12585530</c:v>
                      </c:pt>
                      <c:pt idx="30">
                        <c:v>16187200</c:v>
                      </c:pt>
                      <c:pt idx="31">
                        <c:v>16658290</c:v>
                      </c:pt>
                      <c:pt idx="32">
                        <c:v>18016170</c:v>
                      </c:pt>
                      <c:pt idx="33">
                        <c:v>22424950</c:v>
                      </c:pt>
                      <c:pt idx="34">
                        <c:v>14412400</c:v>
                      </c:pt>
                      <c:pt idx="35">
                        <c:v>17799630</c:v>
                      </c:pt>
                      <c:pt idx="36">
                        <c:v>17924240</c:v>
                      </c:pt>
                      <c:pt idx="37">
                        <c:v>10403200</c:v>
                      </c:pt>
                      <c:pt idx="38">
                        <c:v>12990980</c:v>
                      </c:pt>
                      <c:pt idx="39">
                        <c:v>9256664</c:v>
                      </c:pt>
                      <c:pt idx="40">
                        <c:v>8972212</c:v>
                      </c:pt>
                      <c:pt idx="41">
                        <c:v>8542773</c:v>
                      </c:pt>
                      <c:pt idx="42">
                        <c:v>7945641</c:v>
                      </c:pt>
                      <c:pt idx="43">
                        <c:v>5019131</c:v>
                      </c:pt>
                      <c:pt idx="44">
                        <c:v>13010760</c:v>
                      </c:pt>
                      <c:pt idx="45">
                        <c:v>42458100</c:v>
                      </c:pt>
                      <c:pt idx="46">
                        <c:v>21300650</c:v>
                      </c:pt>
                      <c:pt idx="47">
                        <c:v>20946090</c:v>
                      </c:pt>
                      <c:pt idx="48">
                        <c:v>21902380</c:v>
                      </c:pt>
                      <c:pt idx="49">
                        <c:v>24559740</c:v>
                      </c:pt>
                      <c:pt idx="50">
                        <c:v>13429030</c:v>
                      </c:pt>
                      <c:pt idx="51">
                        <c:v>17542090</c:v>
                      </c:pt>
                      <c:pt idx="52">
                        <c:v>32819010</c:v>
                      </c:pt>
                      <c:pt idx="53">
                        <c:v>14949420</c:v>
                      </c:pt>
                      <c:pt idx="54">
                        <c:v>22348330</c:v>
                      </c:pt>
                      <c:pt idx="55">
                        <c:v>15581150</c:v>
                      </c:pt>
                      <c:pt idx="56">
                        <c:v>21040360</c:v>
                      </c:pt>
                      <c:pt idx="57">
                        <c:v>28137660</c:v>
                      </c:pt>
                      <c:pt idx="58">
                        <c:v>24874490</c:v>
                      </c:pt>
                      <c:pt idx="59">
                        <c:v>16500100</c:v>
                      </c:pt>
                      <c:pt idx="60">
                        <c:v>10648350</c:v>
                      </c:pt>
                      <c:pt idx="61">
                        <c:v>13263400</c:v>
                      </c:pt>
                      <c:pt idx="62">
                        <c:v>14473270</c:v>
                      </c:pt>
                      <c:pt idx="63">
                        <c:v>36805250</c:v>
                      </c:pt>
                      <c:pt idx="64">
                        <c:v>19562230</c:v>
                      </c:pt>
                      <c:pt idx="65">
                        <c:v>17292300</c:v>
                      </c:pt>
                      <c:pt idx="66">
                        <c:v>18904910</c:v>
                      </c:pt>
                      <c:pt idx="67">
                        <c:v>16254830</c:v>
                      </c:pt>
                      <c:pt idx="68">
                        <c:v>16079360</c:v>
                      </c:pt>
                      <c:pt idx="69">
                        <c:v>26284330</c:v>
                      </c:pt>
                      <c:pt idx="70">
                        <c:v>15910820</c:v>
                      </c:pt>
                      <c:pt idx="71">
                        <c:v>13177640</c:v>
                      </c:pt>
                      <c:pt idx="72">
                        <c:v>15020980</c:v>
                      </c:pt>
                      <c:pt idx="73">
                        <c:v>13980870</c:v>
                      </c:pt>
                      <c:pt idx="74">
                        <c:v>14719310</c:v>
                      </c:pt>
                      <c:pt idx="75">
                        <c:v>14856050</c:v>
                      </c:pt>
                      <c:pt idx="76">
                        <c:v>22899260</c:v>
                      </c:pt>
                      <c:pt idx="77">
                        <c:v>8780220</c:v>
                      </c:pt>
                      <c:pt idx="78">
                        <c:v>10984500</c:v>
                      </c:pt>
                      <c:pt idx="79">
                        <c:v>12163090</c:v>
                      </c:pt>
                      <c:pt idx="80">
                        <c:v>13383720</c:v>
                      </c:pt>
                      <c:pt idx="81">
                        <c:v>14177770</c:v>
                      </c:pt>
                      <c:pt idx="82">
                        <c:v>16525920</c:v>
                      </c:pt>
                      <c:pt idx="83">
                        <c:v>10761420</c:v>
                      </c:pt>
                      <c:pt idx="84">
                        <c:v>11138130</c:v>
                      </c:pt>
                      <c:pt idx="85">
                        <c:v>17568830</c:v>
                      </c:pt>
                      <c:pt idx="86">
                        <c:v>24655200</c:v>
                      </c:pt>
                      <c:pt idx="87">
                        <c:v>18603250</c:v>
                      </c:pt>
                      <c:pt idx="88">
                        <c:v>11981160</c:v>
                      </c:pt>
                      <c:pt idx="89">
                        <c:v>15087520</c:v>
                      </c:pt>
                      <c:pt idx="90">
                        <c:v>14674630</c:v>
                      </c:pt>
                      <c:pt idx="91">
                        <c:v>7937347</c:v>
                      </c:pt>
                      <c:pt idx="92">
                        <c:v>10358730</c:v>
                      </c:pt>
                      <c:pt idx="93">
                        <c:v>7659318</c:v>
                      </c:pt>
                      <c:pt idx="94">
                        <c:v>8786318</c:v>
                      </c:pt>
                      <c:pt idx="95">
                        <c:v>8635150</c:v>
                      </c:pt>
                      <c:pt idx="96">
                        <c:v>9037735</c:v>
                      </c:pt>
                      <c:pt idx="97">
                        <c:v>13549700</c:v>
                      </c:pt>
                      <c:pt idx="98">
                        <c:v>14511960</c:v>
                      </c:pt>
                    </c:numCache>
                  </c:numRef>
                </c:val>
                <c:extLst xmlns:c15="http://schemas.microsoft.com/office/drawing/2012/chart">
                  <c:ext xmlns:c16="http://schemas.microsoft.com/office/drawing/2014/chart" uri="{C3380CC4-5D6E-409C-BE32-E72D297353CC}">
                    <c16:uniqueId val="{00000005-A184-4945-8B10-089962E2EFDC}"/>
                  </c:ext>
                </c:extLst>
              </c15:ser>
            </c15:filteredBarSeries>
          </c:ext>
        </c:extLst>
      </c:barChart>
      <c:lineChart>
        <c:grouping val="standard"/>
        <c:varyColors val="0"/>
        <c:ser>
          <c:idx val="9"/>
          <c:order val="9"/>
          <c:tx>
            <c:strRef>
              <c:f>'cocola dataset'!$K$1</c:f>
              <c:strCache>
                <c:ptCount val="1"/>
                <c:pt idx="0">
                  <c:v> Moving Average</c:v>
                </c:pt>
              </c:strCache>
            </c:strRef>
          </c:tx>
          <c:spPr>
            <a:ln w="28575" cap="rnd">
              <a:solidFill>
                <a:schemeClr val="accent4">
                  <a:lumMod val="60000"/>
                </a:schemeClr>
              </a:solidFill>
              <a:round/>
            </a:ln>
            <a:effectLst/>
          </c:spPr>
          <c:marker>
            <c:symbol val="none"/>
          </c:marker>
          <c:cat>
            <c:strRef>
              <c:f>'cocola dataset'!$A$2:$A$100</c:f>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f>'cocola dataset'!$K$2:$K$100</c:f>
              <c:numCache>
                <c:formatCode>_(* #,##0.00_);_(* \(#,##0.00\);_(* "-"??_);_(@_)</c:formatCode>
                <c:ptCount val="99"/>
                <c:pt idx="0">
                  <c:v>70.11</c:v>
                </c:pt>
                <c:pt idx="1">
                  <c:v>70.87</c:v>
                </c:pt>
                <c:pt idx="2">
                  <c:v>70.8</c:v>
                </c:pt>
                <c:pt idx="3">
                  <c:v>71.489999999999995</c:v>
                </c:pt>
                <c:pt idx="4">
                  <c:v>70.59</c:v>
                </c:pt>
                <c:pt idx="5">
                  <c:v>71.349999999999994</c:v>
                </c:pt>
                <c:pt idx="6">
                  <c:v>70.040000000000006</c:v>
                </c:pt>
                <c:pt idx="7">
                  <c:v>70.069999999999993</c:v>
                </c:pt>
                <c:pt idx="8">
                  <c:v>69.05</c:v>
                </c:pt>
                <c:pt idx="9">
                  <c:v>68.87</c:v>
                </c:pt>
                <c:pt idx="10">
                  <c:v>69.5</c:v>
                </c:pt>
                <c:pt idx="11">
                  <c:v>68.709999999999994</c:v>
                </c:pt>
                <c:pt idx="12">
                  <c:v>67.599999999999994</c:v>
                </c:pt>
                <c:pt idx="13">
                  <c:v>64.55</c:v>
                </c:pt>
                <c:pt idx="14">
                  <c:v>63.84</c:v>
                </c:pt>
                <c:pt idx="15">
                  <c:v>63.36</c:v>
                </c:pt>
                <c:pt idx="16">
                  <c:v>63.12</c:v>
                </c:pt>
                <c:pt idx="17">
                  <c:v>62.67</c:v>
                </c:pt>
                <c:pt idx="18">
                  <c:v>63.35</c:v>
                </c:pt>
                <c:pt idx="19">
                  <c:v>63.48</c:v>
                </c:pt>
                <c:pt idx="20">
                  <c:v>64.05</c:v>
                </c:pt>
                <c:pt idx="21">
                  <c:v>62.83</c:v>
                </c:pt>
                <c:pt idx="22">
                  <c:v>62.36</c:v>
                </c:pt>
                <c:pt idx="23">
                  <c:v>63.87</c:v>
                </c:pt>
                <c:pt idx="24">
                  <c:v>61.92</c:v>
                </c:pt>
                <c:pt idx="25">
                  <c:v>61.53</c:v>
                </c:pt>
                <c:pt idx="26">
                  <c:v>61.78</c:v>
                </c:pt>
                <c:pt idx="27">
                  <c:v>62.42</c:v>
                </c:pt>
                <c:pt idx="28">
                  <c:v>62.71</c:v>
                </c:pt>
                <c:pt idx="29">
                  <c:v>62.25</c:v>
                </c:pt>
                <c:pt idx="30">
                  <c:v>61.77</c:v>
                </c:pt>
                <c:pt idx="31">
                  <c:v>62.04</c:v>
                </c:pt>
                <c:pt idx="32">
                  <c:v>61.65</c:v>
                </c:pt>
                <c:pt idx="33">
                  <c:v>61.07</c:v>
                </c:pt>
                <c:pt idx="34">
                  <c:v>61.71</c:v>
                </c:pt>
                <c:pt idx="35">
                  <c:v>60.84</c:v>
                </c:pt>
                <c:pt idx="36">
                  <c:v>60.81</c:v>
                </c:pt>
                <c:pt idx="37">
                  <c:v>61.75</c:v>
                </c:pt>
                <c:pt idx="38">
                  <c:v>61.84</c:v>
                </c:pt>
                <c:pt idx="39">
                  <c:v>62.26</c:v>
                </c:pt>
                <c:pt idx="40">
                  <c:v>62.03</c:v>
                </c:pt>
                <c:pt idx="41">
                  <c:v>62.45</c:v>
                </c:pt>
                <c:pt idx="42">
                  <c:v>62.57</c:v>
                </c:pt>
                <c:pt idx="43">
                  <c:v>62.84</c:v>
                </c:pt>
                <c:pt idx="44">
                  <c:v>62.38</c:v>
                </c:pt>
                <c:pt idx="45">
                  <c:v>62.55</c:v>
                </c:pt>
                <c:pt idx="46">
                  <c:v>62.45</c:v>
                </c:pt>
                <c:pt idx="47">
                  <c:v>62.85</c:v>
                </c:pt>
                <c:pt idx="48">
                  <c:v>63.4</c:v>
                </c:pt>
                <c:pt idx="49">
                  <c:v>62.55</c:v>
                </c:pt>
                <c:pt idx="50">
                  <c:v>63.12</c:v>
                </c:pt>
                <c:pt idx="51">
                  <c:v>63.84</c:v>
                </c:pt>
                <c:pt idx="52">
                  <c:v>62.64</c:v>
                </c:pt>
                <c:pt idx="53">
                  <c:v>62.91</c:v>
                </c:pt>
                <c:pt idx="54">
                  <c:v>62.6</c:v>
                </c:pt>
                <c:pt idx="55">
                  <c:v>62.53</c:v>
                </c:pt>
                <c:pt idx="56">
                  <c:v>62.92</c:v>
                </c:pt>
                <c:pt idx="57">
                  <c:v>62.21</c:v>
                </c:pt>
                <c:pt idx="58">
                  <c:v>63.52</c:v>
                </c:pt>
                <c:pt idx="59">
                  <c:v>63.65</c:v>
                </c:pt>
                <c:pt idx="60">
                  <c:v>64.08</c:v>
                </c:pt>
                <c:pt idx="61">
                  <c:v>64.430000000000007</c:v>
                </c:pt>
                <c:pt idx="62">
                  <c:v>64.55</c:v>
                </c:pt>
                <c:pt idx="63">
                  <c:v>64.38</c:v>
                </c:pt>
                <c:pt idx="64">
                  <c:v>63.92</c:v>
                </c:pt>
                <c:pt idx="65">
                  <c:v>63.76</c:v>
                </c:pt>
                <c:pt idx="66">
                  <c:v>62.99</c:v>
                </c:pt>
                <c:pt idx="67">
                  <c:v>62.59</c:v>
                </c:pt>
                <c:pt idx="68">
                  <c:v>61.86</c:v>
                </c:pt>
                <c:pt idx="69">
                  <c:v>61.74</c:v>
                </c:pt>
                <c:pt idx="70">
                  <c:v>62.55</c:v>
                </c:pt>
                <c:pt idx="71">
                  <c:v>63</c:v>
                </c:pt>
                <c:pt idx="72">
                  <c:v>63.2</c:v>
                </c:pt>
                <c:pt idx="73">
                  <c:v>63.36</c:v>
                </c:pt>
                <c:pt idx="74">
                  <c:v>63.92</c:v>
                </c:pt>
                <c:pt idx="75">
                  <c:v>63.66</c:v>
                </c:pt>
                <c:pt idx="76">
                  <c:v>63.7</c:v>
                </c:pt>
                <c:pt idx="77">
                  <c:v>65.37</c:v>
                </c:pt>
                <c:pt idx="78">
                  <c:v>65.11</c:v>
                </c:pt>
                <c:pt idx="79">
                  <c:v>65.010000000000005</c:v>
                </c:pt>
                <c:pt idx="80">
                  <c:v>65.31</c:v>
                </c:pt>
                <c:pt idx="81">
                  <c:v>65.92</c:v>
                </c:pt>
                <c:pt idx="82">
                  <c:v>65.56</c:v>
                </c:pt>
                <c:pt idx="83">
                  <c:v>66.67</c:v>
                </c:pt>
                <c:pt idx="84">
                  <c:v>66.92</c:v>
                </c:pt>
                <c:pt idx="85">
                  <c:v>67.3</c:v>
                </c:pt>
                <c:pt idx="86">
                  <c:v>68.010000000000005</c:v>
                </c:pt>
                <c:pt idx="87">
                  <c:v>69.45</c:v>
                </c:pt>
                <c:pt idx="88">
                  <c:v>69.45</c:v>
                </c:pt>
                <c:pt idx="89">
                  <c:v>70.44</c:v>
                </c:pt>
                <c:pt idx="90">
                  <c:v>69.900000000000006</c:v>
                </c:pt>
                <c:pt idx="91">
                  <c:v>70.569999999999993</c:v>
                </c:pt>
                <c:pt idx="92">
                  <c:v>70.34</c:v>
                </c:pt>
                <c:pt idx="93">
                  <c:v>70.34</c:v>
                </c:pt>
                <c:pt idx="94">
                  <c:v>69.569999999999993</c:v>
                </c:pt>
                <c:pt idx="95">
                  <c:v>69.25</c:v>
                </c:pt>
                <c:pt idx="96">
                  <c:v>69.569999999999993</c:v>
                </c:pt>
                <c:pt idx="97">
                  <c:v>69.180000000000007</c:v>
                </c:pt>
                <c:pt idx="98">
                  <c:v>69.010000000000005</c:v>
                </c:pt>
              </c:numCache>
            </c:numRef>
          </c:val>
          <c:smooth val="0"/>
          <c:extLst>
            <c:ext xmlns:c16="http://schemas.microsoft.com/office/drawing/2014/chart" uri="{C3380CC4-5D6E-409C-BE32-E72D297353CC}">
              <c16:uniqueId val="{00000001-A184-4945-8B10-089962E2EFDC}"/>
            </c:ext>
          </c:extLst>
        </c:ser>
        <c:dLbls>
          <c:showLegendKey val="0"/>
          <c:showVal val="0"/>
          <c:showCatName val="0"/>
          <c:showSerName val="0"/>
          <c:showPercent val="0"/>
          <c:showBubbleSize val="0"/>
        </c:dLbls>
        <c:marker val="1"/>
        <c:smooth val="0"/>
        <c:axId val="1292974911"/>
        <c:axId val="1292977311"/>
        <c:extLst>
          <c:ext xmlns:c15="http://schemas.microsoft.com/office/drawing/2012/chart" uri="{02D57815-91ED-43cb-92C2-25804820EDAC}">
            <c15:filteredLineSeries>
              <c15:ser>
                <c:idx val="5"/>
                <c:order val="5"/>
                <c:tx>
                  <c:strRef>
                    <c:extLst>
                      <c:ext uri="{02D57815-91ED-43cb-92C2-25804820EDAC}">
                        <c15:formulaRef>
                          <c15:sqref>'cocola dataset'!$G$1</c15:sqref>
                        </c15:formulaRef>
                      </c:ext>
                    </c:extLst>
                    <c:strCache>
                      <c:ptCount val="1"/>
                      <c:pt idx="0">
                        <c:v>Daily Price Change</c:v>
                      </c:pt>
                    </c:strCache>
                  </c:strRef>
                </c:tx>
                <c:spPr>
                  <a:ln w="28575" cap="rnd">
                    <a:solidFill>
                      <a:schemeClr val="accent6"/>
                    </a:solidFill>
                    <a:round/>
                  </a:ln>
                  <a:effectLst/>
                </c:spPr>
                <c:marker>
                  <c:symbol val="none"/>
                </c:marker>
                <c:cat>
                  <c:strRef>
                    <c:extLst>
                      <c:ext uri="{02D57815-91ED-43cb-92C2-25804820EDAC}">
                        <c15:formulaRef>
                          <c15:sqref>'cocola dataset'!$A$2:$A$100</c15:sqref>
                        </c15:formulaRef>
                      </c:ext>
                    </c:extLst>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extLst>
                      <c:ext uri="{02D57815-91ED-43cb-92C2-25804820EDAC}">
                        <c15:formulaRef>
                          <c15:sqref>'cocola dataset'!$G$2:$G$100</c15:sqref>
                        </c15:formulaRef>
                      </c:ext>
                    </c:extLst>
                    <c:numCache>
                      <c:formatCode>_(* #,##0.00_);_(* \(#,##0.00\);_(* "-"??_);_(@_)</c:formatCode>
                      <c:ptCount val="99"/>
                      <c:pt idx="0">
                        <c:v>-0.24000000000000909</c:v>
                      </c:pt>
                      <c:pt idx="1">
                        <c:v>0.15000000000000568</c:v>
                      </c:pt>
                      <c:pt idx="2">
                        <c:v>-0.46999999999999886</c:v>
                      </c:pt>
                      <c:pt idx="3">
                        <c:v>0.62999999999999545</c:v>
                      </c:pt>
                      <c:pt idx="4">
                        <c:v>-0.25</c:v>
                      </c:pt>
                      <c:pt idx="5">
                        <c:v>1.0300000000000011</c:v>
                      </c:pt>
                      <c:pt idx="6">
                        <c:v>0.33000000000001251</c:v>
                      </c:pt>
                      <c:pt idx="7">
                        <c:v>0.85999999999999943</c:v>
                      </c:pt>
                      <c:pt idx="8">
                        <c:v>0.5</c:v>
                      </c:pt>
                      <c:pt idx="9">
                        <c:v>-0.49499999999999034</c:v>
                      </c:pt>
                      <c:pt idx="10">
                        <c:v>0.5</c:v>
                      </c:pt>
                      <c:pt idx="11">
                        <c:v>1.8399999999999892</c:v>
                      </c:pt>
                      <c:pt idx="12">
                        <c:v>9.9999999999994316E-2</c:v>
                      </c:pt>
                      <c:pt idx="13">
                        <c:v>0.45000000000000284</c:v>
                      </c:pt>
                      <c:pt idx="14">
                        <c:v>0.41000000000000369</c:v>
                      </c:pt>
                      <c:pt idx="15">
                        <c:v>-0.25999999999999801</c:v>
                      </c:pt>
                      <c:pt idx="16">
                        <c:v>0.39999999999999858</c:v>
                      </c:pt>
                      <c:pt idx="17">
                        <c:v>-0.93999999999999773</c:v>
                      </c:pt>
                      <c:pt idx="18">
                        <c:v>0.17000000000000171</c:v>
                      </c:pt>
                      <c:pt idx="19">
                        <c:v>-0.22000000000000597</c:v>
                      </c:pt>
                      <c:pt idx="20">
                        <c:v>0.19999999999999574</c:v>
                      </c:pt>
                      <c:pt idx="21">
                        <c:v>0.26999999999999602</c:v>
                      </c:pt>
                      <c:pt idx="22">
                        <c:v>-1.1499999999999986</c:v>
                      </c:pt>
                      <c:pt idx="23">
                        <c:v>1</c:v>
                      </c:pt>
                      <c:pt idx="24">
                        <c:v>0.20000000000000284</c:v>
                      </c:pt>
                      <c:pt idx="25">
                        <c:v>-0.26999999999999602</c:v>
                      </c:pt>
                      <c:pt idx="26">
                        <c:v>-0.33999999999999631</c:v>
                      </c:pt>
                      <c:pt idx="27">
                        <c:v>-0.47999999999999687</c:v>
                      </c:pt>
                      <c:pt idx="28">
                        <c:v>0.39999999999999858</c:v>
                      </c:pt>
                      <c:pt idx="29">
                        <c:v>0.82999999999999829</c:v>
                      </c:pt>
                      <c:pt idx="30">
                        <c:v>-0.55999999999999517</c:v>
                      </c:pt>
                      <c:pt idx="31">
                        <c:v>0.38499999999999801</c:v>
                      </c:pt>
                      <c:pt idx="32">
                        <c:v>0.51999999999999602</c:v>
                      </c:pt>
                      <c:pt idx="33">
                        <c:v>-0.50999999999999801</c:v>
                      </c:pt>
                      <c:pt idx="34">
                        <c:v>0.71999999999999886</c:v>
                      </c:pt>
                      <c:pt idx="35">
                        <c:v>-0.26999999999999602</c:v>
                      </c:pt>
                      <c:pt idx="36">
                        <c:v>-0.68999999999999773</c:v>
                      </c:pt>
                      <c:pt idx="37">
                        <c:v>-0.14999999999999858</c:v>
                      </c:pt>
                      <c:pt idx="38">
                        <c:v>-0.50999999999999801</c:v>
                      </c:pt>
                      <c:pt idx="39">
                        <c:v>0.23999999999999488</c:v>
                      </c:pt>
                      <c:pt idx="40">
                        <c:v>-0.31000000000000227</c:v>
                      </c:pt>
                      <c:pt idx="41">
                        <c:v>0</c:v>
                      </c:pt>
                      <c:pt idx="42">
                        <c:v>-4.9999999999997158E-2</c:v>
                      </c:pt>
                      <c:pt idx="43">
                        <c:v>0.64000000000000057</c:v>
                      </c:pt>
                      <c:pt idx="44">
                        <c:v>-0.11999999999999744</c:v>
                      </c:pt>
                      <c:pt idx="45">
                        <c:v>7.9999999999998295E-2</c:v>
                      </c:pt>
                      <c:pt idx="46">
                        <c:v>-0.25</c:v>
                      </c:pt>
                      <c:pt idx="47">
                        <c:v>3.9999999999999147E-2</c:v>
                      </c:pt>
                      <c:pt idx="48">
                        <c:v>0.94999999999999574</c:v>
                      </c:pt>
                      <c:pt idx="49">
                        <c:v>-0.67999999999999972</c:v>
                      </c:pt>
                      <c:pt idx="50">
                        <c:v>-0.45000000000000284</c:v>
                      </c:pt>
                      <c:pt idx="51">
                        <c:v>0.29000000000000625</c:v>
                      </c:pt>
                      <c:pt idx="52">
                        <c:v>-0.35999999999999943</c:v>
                      </c:pt>
                      <c:pt idx="53">
                        <c:v>0.20999999999999375</c:v>
                      </c:pt>
                      <c:pt idx="54">
                        <c:v>-8.9999999999996305E-2</c:v>
                      </c:pt>
                      <c:pt idx="55">
                        <c:v>-0.29999999999999716</c:v>
                      </c:pt>
                      <c:pt idx="56">
                        <c:v>0.45000000000000284</c:v>
                      </c:pt>
                      <c:pt idx="57">
                        <c:v>-1.0649999999999977</c:v>
                      </c:pt>
                      <c:pt idx="58">
                        <c:v>-0.19999999999999574</c:v>
                      </c:pt>
                      <c:pt idx="59">
                        <c:v>-0.39999999999999858</c:v>
                      </c:pt>
                      <c:pt idx="60">
                        <c:v>6.0000000000002274E-2</c:v>
                      </c:pt>
                      <c:pt idx="61">
                        <c:v>-0.52999999999998693</c:v>
                      </c:pt>
                      <c:pt idx="62">
                        <c:v>0.23999999999999488</c:v>
                      </c:pt>
                      <c:pt idx="63">
                        <c:v>6.0000000000002274E-2</c:v>
                      </c:pt>
                      <c:pt idx="64">
                        <c:v>-0.31999999999999318</c:v>
                      </c:pt>
                      <c:pt idx="65">
                        <c:v>0.60999999999999943</c:v>
                      </c:pt>
                      <c:pt idx="66">
                        <c:v>0.28999999999999915</c:v>
                      </c:pt>
                      <c:pt idx="67">
                        <c:v>0.69000000000000483</c:v>
                      </c:pt>
                      <c:pt idx="68">
                        <c:v>9.9999999999980105E-3</c:v>
                      </c:pt>
                      <c:pt idx="69">
                        <c:v>-0.75</c:v>
                      </c:pt>
                      <c:pt idx="70">
                        <c:v>-0.56000000000000227</c:v>
                      </c:pt>
                      <c:pt idx="71">
                        <c:v>-4.9999999999997158E-2</c:v>
                      </c:pt>
                      <c:pt idx="72">
                        <c:v>-0.47999999999999687</c:v>
                      </c:pt>
                      <c:pt idx="73">
                        <c:v>-0.63000000000000256</c:v>
                      </c:pt>
                      <c:pt idx="74">
                        <c:v>1.0000000000005116E-2</c:v>
                      </c:pt>
                      <c:pt idx="75">
                        <c:v>-0.63000000000000966</c:v>
                      </c:pt>
                      <c:pt idx="76">
                        <c:v>-0.71999999999999886</c:v>
                      </c:pt>
                      <c:pt idx="77">
                        <c:v>0.73000000000000398</c:v>
                      </c:pt>
                      <c:pt idx="78">
                        <c:v>3.0000000000001137E-2</c:v>
                      </c:pt>
                      <c:pt idx="79">
                        <c:v>-0.45999999999999375</c:v>
                      </c:pt>
                      <c:pt idx="80">
                        <c:v>-0.5</c:v>
                      </c:pt>
                      <c:pt idx="81">
                        <c:v>0.40999999999999659</c:v>
                      </c:pt>
                      <c:pt idx="82">
                        <c:v>-0.73000000000000398</c:v>
                      </c:pt>
                      <c:pt idx="83">
                        <c:v>-0.28999999999999204</c:v>
                      </c:pt>
                      <c:pt idx="84">
                        <c:v>-0.14999999999999147</c:v>
                      </c:pt>
                      <c:pt idx="85">
                        <c:v>-0.35000000000000853</c:v>
                      </c:pt>
                      <c:pt idx="86">
                        <c:v>1.0200000000000102</c:v>
                      </c:pt>
                      <c:pt idx="87">
                        <c:v>0.45000000000000284</c:v>
                      </c:pt>
                      <c:pt idx="88">
                        <c:v>-0.54999999999999716</c:v>
                      </c:pt>
                      <c:pt idx="89">
                        <c:v>0.56999999999999318</c:v>
                      </c:pt>
                      <c:pt idx="90">
                        <c:v>-0.72999999999998977</c:v>
                      </c:pt>
                      <c:pt idx="91">
                        <c:v>0.47999999999998977</c:v>
                      </c:pt>
                      <c:pt idx="92">
                        <c:v>-0.11999999999999034</c:v>
                      </c:pt>
                      <c:pt idx="93">
                        <c:v>0.77000000000001023</c:v>
                      </c:pt>
                      <c:pt idx="94">
                        <c:v>0.10999999999999943</c:v>
                      </c:pt>
                      <c:pt idx="95">
                        <c:v>-0.57999999999999829</c:v>
                      </c:pt>
                      <c:pt idx="96">
                        <c:v>0.37999999999999545</c:v>
                      </c:pt>
                      <c:pt idx="97">
                        <c:v>0.14000000000000057</c:v>
                      </c:pt>
                      <c:pt idx="98">
                        <c:v>-1.039999999999992</c:v>
                      </c:pt>
                    </c:numCache>
                  </c:numRef>
                </c:val>
                <c:smooth val="0"/>
                <c:extLst>
                  <c:ext xmlns:c16="http://schemas.microsoft.com/office/drawing/2014/chart" uri="{C3380CC4-5D6E-409C-BE32-E72D297353CC}">
                    <c16:uniqueId val="{00000006-A184-4945-8B10-089962E2EFDC}"/>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'cocola dataset'!$H$1</c15:sqref>
                        </c15:formulaRef>
                      </c:ext>
                    </c:extLst>
                    <c:strCache>
                      <c:ptCount val="1"/>
                      <c:pt idx="0">
                        <c:v>Daily Return (%)</c:v>
                      </c:pt>
                    </c:strCache>
                  </c:strRef>
                </c:tx>
                <c:spPr>
                  <a:ln w="28575" cap="rnd">
                    <a:solidFill>
                      <a:schemeClr val="accent1">
                        <a:lumMod val="60000"/>
                      </a:schemeClr>
                    </a:solidFill>
                    <a:round/>
                  </a:ln>
                  <a:effectLst/>
                </c:spPr>
                <c:marker>
                  <c:symbol val="none"/>
                </c:marker>
                <c:cat>
                  <c:strRef>
                    <c:extLst xmlns:c15="http://schemas.microsoft.com/office/drawing/2012/chart">
                      <c:ext xmlns:c15="http://schemas.microsoft.com/office/drawing/2012/chart" uri="{02D57815-91ED-43cb-92C2-25804820EDAC}">
                        <c15:formulaRef>
                          <c15:sqref>'cocola dataset'!$A$2:$A$100</c15:sqref>
                        </c15:formulaRef>
                      </c:ext>
                    </c:extLst>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extLst xmlns:c15="http://schemas.microsoft.com/office/drawing/2012/chart">
                      <c:ext xmlns:c15="http://schemas.microsoft.com/office/drawing/2012/chart" uri="{02D57815-91ED-43cb-92C2-25804820EDAC}">
                        <c15:formulaRef>
                          <c15:sqref>'cocola dataset'!$H$2:$H$100</c15:sqref>
                        </c15:formulaRef>
                      </c:ext>
                    </c:extLst>
                    <c:numCache>
                      <c:formatCode>_(* #,##0.00_);_(* \(#,##0.00\);_(* "-"??_);_(@_)</c:formatCode>
                      <c:ptCount val="99"/>
                      <c:pt idx="0">
                        <c:v>7020.9999999999991</c:v>
                      </c:pt>
                      <c:pt idx="1">
                        <c:v>6987</c:v>
                      </c:pt>
                      <c:pt idx="2">
                        <c:v>6980</c:v>
                      </c:pt>
                      <c:pt idx="3">
                        <c:v>7048.9999999999991</c:v>
                      </c:pt>
                      <c:pt idx="4">
                        <c:v>6959</c:v>
                      </c:pt>
                      <c:pt idx="5">
                        <c:v>7034.9999999999991</c:v>
                      </c:pt>
                      <c:pt idx="6">
                        <c:v>6904.0000000000009</c:v>
                      </c:pt>
                      <c:pt idx="7">
                        <c:v>6906.9999999999991</c:v>
                      </c:pt>
                      <c:pt idx="8">
                        <c:v>6805</c:v>
                      </c:pt>
                      <c:pt idx="9">
                        <c:v>6787</c:v>
                      </c:pt>
                      <c:pt idx="10">
                        <c:v>6850</c:v>
                      </c:pt>
                      <c:pt idx="11">
                        <c:v>6770.9999999999991</c:v>
                      </c:pt>
                      <c:pt idx="12">
                        <c:v>6659.9999999999991</c:v>
                      </c:pt>
                      <c:pt idx="13">
                        <c:v>6355</c:v>
                      </c:pt>
                      <c:pt idx="14">
                        <c:v>6284</c:v>
                      </c:pt>
                      <c:pt idx="15">
                        <c:v>6236</c:v>
                      </c:pt>
                      <c:pt idx="16">
                        <c:v>6212</c:v>
                      </c:pt>
                      <c:pt idx="17">
                        <c:v>6167</c:v>
                      </c:pt>
                      <c:pt idx="18">
                        <c:v>6235</c:v>
                      </c:pt>
                      <c:pt idx="19">
                        <c:v>6248</c:v>
                      </c:pt>
                      <c:pt idx="20">
                        <c:v>6305</c:v>
                      </c:pt>
                      <c:pt idx="21">
                        <c:v>6183</c:v>
                      </c:pt>
                      <c:pt idx="22">
                        <c:v>6136</c:v>
                      </c:pt>
                      <c:pt idx="23">
                        <c:v>6287</c:v>
                      </c:pt>
                      <c:pt idx="24">
                        <c:v>6092</c:v>
                      </c:pt>
                      <c:pt idx="25">
                        <c:v>6053</c:v>
                      </c:pt>
                      <c:pt idx="26">
                        <c:v>6078</c:v>
                      </c:pt>
                      <c:pt idx="27">
                        <c:v>6142</c:v>
                      </c:pt>
                      <c:pt idx="28">
                        <c:v>6171</c:v>
                      </c:pt>
                      <c:pt idx="29">
                        <c:v>6125</c:v>
                      </c:pt>
                      <c:pt idx="30">
                        <c:v>6077</c:v>
                      </c:pt>
                      <c:pt idx="31">
                        <c:v>6104</c:v>
                      </c:pt>
                      <c:pt idx="32">
                        <c:v>6065</c:v>
                      </c:pt>
                      <c:pt idx="33">
                        <c:v>6007</c:v>
                      </c:pt>
                      <c:pt idx="34">
                        <c:v>6071</c:v>
                      </c:pt>
                      <c:pt idx="35">
                        <c:v>5984</c:v>
                      </c:pt>
                      <c:pt idx="36">
                        <c:v>5981</c:v>
                      </c:pt>
                      <c:pt idx="37">
                        <c:v>6075</c:v>
                      </c:pt>
                      <c:pt idx="38">
                        <c:v>6084</c:v>
                      </c:pt>
                      <c:pt idx="39">
                        <c:v>6126</c:v>
                      </c:pt>
                      <c:pt idx="40">
                        <c:v>6103</c:v>
                      </c:pt>
                      <c:pt idx="41">
                        <c:v>6145</c:v>
                      </c:pt>
                      <c:pt idx="42">
                        <c:v>6157</c:v>
                      </c:pt>
                      <c:pt idx="43">
                        <c:v>6184</c:v>
                      </c:pt>
                      <c:pt idx="44">
                        <c:v>6138</c:v>
                      </c:pt>
                      <c:pt idx="45">
                        <c:v>6155</c:v>
                      </c:pt>
                      <c:pt idx="46">
                        <c:v>6145</c:v>
                      </c:pt>
                      <c:pt idx="47">
                        <c:v>6185</c:v>
                      </c:pt>
                      <c:pt idx="48">
                        <c:v>6240</c:v>
                      </c:pt>
                      <c:pt idx="49">
                        <c:v>6155</c:v>
                      </c:pt>
                      <c:pt idx="50">
                        <c:v>6212</c:v>
                      </c:pt>
                      <c:pt idx="51">
                        <c:v>6284</c:v>
                      </c:pt>
                      <c:pt idx="52">
                        <c:v>6164</c:v>
                      </c:pt>
                      <c:pt idx="53">
                        <c:v>6191</c:v>
                      </c:pt>
                      <c:pt idx="54">
                        <c:v>6160</c:v>
                      </c:pt>
                      <c:pt idx="55">
                        <c:v>6153</c:v>
                      </c:pt>
                      <c:pt idx="56">
                        <c:v>6192</c:v>
                      </c:pt>
                      <c:pt idx="57">
                        <c:v>6121</c:v>
                      </c:pt>
                      <c:pt idx="58">
                        <c:v>6252</c:v>
                      </c:pt>
                      <c:pt idx="59">
                        <c:v>6265</c:v>
                      </c:pt>
                      <c:pt idx="60">
                        <c:v>6308</c:v>
                      </c:pt>
                      <c:pt idx="61">
                        <c:v>6343.0000000000009</c:v>
                      </c:pt>
                      <c:pt idx="62">
                        <c:v>6355</c:v>
                      </c:pt>
                      <c:pt idx="63">
                        <c:v>6338</c:v>
                      </c:pt>
                      <c:pt idx="64">
                        <c:v>6292</c:v>
                      </c:pt>
                      <c:pt idx="65">
                        <c:v>6276</c:v>
                      </c:pt>
                      <c:pt idx="66">
                        <c:v>6199</c:v>
                      </c:pt>
                      <c:pt idx="67">
                        <c:v>6159</c:v>
                      </c:pt>
                      <c:pt idx="68">
                        <c:v>6086</c:v>
                      </c:pt>
                      <c:pt idx="69">
                        <c:v>6074</c:v>
                      </c:pt>
                      <c:pt idx="70">
                        <c:v>6155</c:v>
                      </c:pt>
                      <c:pt idx="71">
                        <c:v>6200</c:v>
                      </c:pt>
                      <c:pt idx="72">
                        <c:v>6220</c:v>
                      </c:pt>
                      <c:pt idx="73">
                        <c:v>6236</c:v>
                      </c:pt>
                      <c:pt idx="74">
                        <c:v>6292</c:v>
                      </c:pt>
                      <c:pt idx="75">
                        <c:v>6266</c:v>
                      </c:pt>
                      <c:pt idx="76">
                        <c:v>6270</c:v>
                      </c:pt>
                      <c:pt idx="77">
                        <c:v>6437</c:v>
                      </c:pt>
                      <c:pt idx="78">
                        <c:v>6411</c:v>
                      </c:pt>
                      <c:pt idx="79">
                        <c:v>6401.0000000000009</c:v>
                      </c:pt>
                      <c:pt idx="80">
                        <c:v>6431</c:v>
                      </c:pt>
                      <c:pt idx="81">
                        <c:v>6492</c:v>
                      </c:pt>
                      <c:pt idx="82">
                        <c:v>6456</c:v>
                      </c:pt>
                      <c:pt idx="83">
                        <c:v>6567</c:v>
                      </c:pt>
                      <c:pt idx="84">
                        <c:v>6592</c:v>
                      </c:pt>
                      <c:pt idx="85">
                        <c:v>6630</c:v>
                      </c:pt>
                      <c:pt idx="86">
                        <c:v>6701.0000000000009</c:v>
                      </c:pt>
                      <c:pt idx="87">
                        <c:v>6845</c:v>
                      </c:pt>
                      <c:pt idx="88">
                        <c:v>6845</c:v>
                      </c:pt>
                      <c:pt idx="89">
                        <c:v>6944</c:v>
                      </c:pt>
                      <c:pt idx="90">
                        <c:v>6890.0000000000009</c:v>
                      </c:pt>
                      <c:pt idx="91">
                        <c:v>6956.9999999999991</c:v>
                      </c:pt>
                      <c:pt idx="92">
                        <c:v>6934</c:v>
                      </c:pt>
                      <c:pt idx="93">
                        <c:v>6934</c:v>
                      </c:pt>
                      <c:pt idx="94">
                        <c:v>6856.9999999999991</c:v>
                      </c:pt>
                      <c:pt idx="95">
                        <c:v>6825</c:v>
                      </c:pt>
                      <c:pt idx="96">
                        <c:v>6856.9999999999991</c:v>
                      </c:pt>
                      <c:pt idx="97">
                        <c:v>6818.0000000000009</c:v>
                      </c:pt>
                      <c:pt idx="98">
                        <c:v>6801.0000000000009</c:v>
                      </c:pt>
                    </c:numCache>
                  </c:numRef>
                </c:val>
                <c:smooth val="0"/>
                <c:extLst xmlns:c15="http://schemas.microsoft.com/office/drawing/2012/chart">
                  <c:ext xmlns:c16="http://schemas.microsoft.com/office/drawing/2014/chart" uri="{C3380CC4-5D6E-409C-BE32-E72D297353CC}">
                    <c16:uniqueId val="{00000007-A184-4945-8B10-089962E2EFDC}"/>
                  </c:ext>
                </c:extLst>
              </c15:ser>
            </c15:filteredLineSeries>
            <c15:filteredLineSeries>
              <c15:ser>
                <c:idx val="7"/>
                <c:order val="7"/>
                <c:tx>
                  <c:strRef>
                    <c:extLst xmlns:c15="http://schemas.microsoft.com/office/drawing/2012/chart">
                      <c:ext xmlns:c15="http://schemas.microsoft.com/office/drawing/2012/chart" uri="{02D57815-91ED-43cb-92C2-25804820EDAC}">
                        <c15:formulaRef>
                          <c15:sqref>'cocola dataset'!$I$1</c15:sqref>
                        </c15:formulaRef>
                      </c:ext>
                    </c:extLst>
                    <c:strCache>
                      <c:ptCount val="1"/>
                      <c:pt idx="0">
                        <c:v>PROFIT</c:v>
                      </c:pt>
                    </c:strCache>
                  </c:strRef>
                </c:tx>
                <c:spPr>
                  <a:ln w="28575" cap="rnd">
                    <a:solidFill>
                      <a:schemeClr val="accent2">
                        <a:lumMod val="60000"/>
                      </a:schemeClr>
                    </a:solidFill>
                    <a:round/>
                  </a:ln>
                  <a:effectLst/>
                </c:spPr>
                <c:marker>
                  <c:symbol val="none"/>
                </c:marker>
                <c:cat>
                  <c:strRef>
                    <c:extLst xmlns:c15="http://schemas.microsoft.com/office/drawing/2012/chart">
                      <c:ext xmlns:c15="http://schemas.microsoft.com/office/drawing/2012/chart" uri="{02D57815-91ED-43cb-92C2-25804820EDAC}">
                        <c15:formulaRef>
                          <c15:sqref>'cocola dataset'!$A$2:$A$100</c15:sqref>
                        </c15:formulaRef>
                      </c:ext>
                    </c:extLst>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extLst xmlns:c15="http://schemas.microsoft.com/office/drawing/2012/chart">
                      <c:ext xmlns:c15="http://schemas.microsoft.com/office/drawing/2012/chart" uri="{02D57815-91ED-43cb-92C2-25804820EDAC}">
                        <c15:formulaRef>
                          <c15:sqref>'cocola dataset'!$I$2:$I$100</c15:sqref>
                        </c15:formulaRef>
                      </c:ext>
                    </c:extLst>
                    <c:numCache>
                      <c:formatCode>General</c:formatCode>
                      <c:ptCount val="99"/>
                      <c:pt idx="0">
                        <c:v>-0.24000000000000909</c:v>
                      </c:pt>
                      <c:pt idx="1">
                        <c:v>0.15000000000000568</c:v>
                      </c:pt>
                      <c:pt idx="2">
                        <c:v>-0.46999999999999886</c:v>
                      </c:pt>
                      <c:pt idx="3">
                        <c:v>0.62999999999999545</c:v>
                      </c:pt>
                      <c:pt idx="4">
                        <c:v>-0.25</c:v>
                      </c:pt>
                      <c:pt idx="5">
                        <c:v>1.0300000000000011</c:v>
                      </c:pt>
                      <c:pt idx="6">
                        <c:v>0.33000000000001251</c:v>
                      </c:pt>
                      <c:pt idx="7">
                        <c:v>0.85999999999999943</c:v>
                      </c:pt>
                      <c:pt idx="8">
                        <c:v>0.5</c:v>
                      </c:pt>
                      <c:pt idx="9">
                        <c:v>-0.49499999999999034</c:v>
                      </c:pt>
                      <c:pt idx="10">
                        <c:v>0.5</c:v>
                      </c:pt>
                      <c:pt idx="11">
                        <c:v>1.8399999999999892</c:v>
                      </c:pt>
                      <c:pt idx="12">
                        <c:v>9.9999999999994316E-2</c:v>
                      </c:pt>
                      <c:pt idx="13">
                        <c:v>0.45000000000000284</c:v>
                      </c:pt>
                      <c:pt idx="14">
                        <c:v>0.41000000000000369</c:v>
                      </c:pt>
                      <c:pt idx="15">
                        <c:v>-0.25999999999999801</c:v>
                      </c:pt>
                      <c:pt idx="16">
                        <c:v>0.39999999999999858</c:v>
                      </c:pt>
                      <c:pt idx="17">
                        <c:v>-0.93999999999999773</c:v>
                      </c:pt>
                      <c:pt idx="18">
                        <c:v>0.17000000000000171</c:v>
                      </c:pt>
                      <c:pt idx="19">
                        <c:v>-0.22000000000000597</c:v>
                      </c:pt>
                      <c:pt idx="20">
                        <c:v>0.19999999999999574</c:v>
                      </c:pt>
                      <c:pt idx="21">
                        <c:v>0.26999999999999602</c:v>
                      </c:pt>
                      <c:pt idx="22">
                        <c:v>-1.1499999999999986</c:v>
                      </c:pt>
                      <c:pt idx="23">
                        <c:v>1</c:v>
                      </c:pt>
                      <c:pt idx="24">
                        <c:v>0.20000000000000284</c:v>
                      </c:pt>
                      <c:pt idx="25">
                        <c:v>-0.26999999999999602</c:v>
                      </c:pt>
                      <c:pt idx="26">
                        <c:v>-0.33999999999999631</c:v>
                      </c:pt>
                      <c:pt idx="27">
                        <c:v>-0.47999999999999687</c:v>
                      </c:pt>
                      <c:pt idx="28">
                        <c:v>0.39999999999999858</c:v>
                      </c:pt>
                      <c:pt idx="29">
                        <c:v>0.82999999999999829</c:v>
                      </c:pt>
                      <c:pt idx="30">
                        <c:v>-0.55999999999999517</c:v>
                      </c:pt>
                      <c:pt idx="31">
                        <c:v>0.38499999999999801</c:v>
                      </c:pt>
                      <c:pt idx="32">
                        <c:v>0.51999999999999602</c:v>
                      </c:pt>
                      <c:pt idx="33">
                        <c:v>-0.50999999999999801</c:v>
                      </c:pt>
                      <c:pt idx="34">
                        <c:v>0.71999999999999886</c:v>
                      </c:pt>
                      <c:pt idx="35">
                        <c:v>-0.26999999999999602</c:v>
                      </c:pt>
                      <c:pt idx="36">
                        <c:v>-0.68999999999999773</c:v>
                      </c:pt>
                      <c:pt idx="37">
                        <c:v>-0.14999999999999858</c:v>
                      </c:pt>
                      <c:pt idx="38">
                        <c:v>-0.50999999999999801</c:v>
                      </c:pt>
                      <c:pt idx="39">
                        <c:v>0.23999999999999488</c:v>
                      </c:pt>
                      <c:pt idx="40">
                        <c:v>-0.31000000000000227</c:v>
                      </c:pt>
                      <c:pt idx="41">
                        <c:v>0</c:v>
                      </c:pt>
                      <c:pt idx="42">
                        <c:v>-4.9999999999997158E-2</c:v>
                      </c:pt>
                      <c:pt idx="43">
                        <c:v>0.64000000000000057</c:v>
                      </c:pt>
                      <c:pt idx="44">
                        <c:v>-0.11999999999999744</c:v>
                      </c:pt>
                      <c:pt idx="45">
                        <c:v>7.9999999999998295E-2</c:v>
                      </c:pt>
                      <c:pt idx="46">
                        <c:v>-0.25</c:v>
                      </c:pt>
                      <c:pt idx="47">
                        <c:v>3.9999999999999147E-2</c:v>
                      </c:pt>
                      <c:pt idx="48">
                        <c:v>0.94999999999999574</c:v>
                      </c:pt>
                      <c:pt idx="49">
                        <c:v>-0.67999999999999972</c:v>
                      </c:pt>
                      <c:pt idx="50">
                        <c:v>-0.45000000000000284</c:v>
                      </c:pt>
                      <c:pt idx="51">
                        <c:v>0.29000000000000625</c:v>
                      </c:pt>
                      <c:pt idx="52">
                        <c:v>-0.35999999999999943</c:v>
                      </c:pt>
                      <c:pt idx="53">
                        <c:v>0.20999999999999375</c:v>
                      </c:pt>
                      <c:pt idx="54">
                        <c:v>-8.9999999999996305E-2</c:v>
                      </c:pt>
                      <c:pt idx="55">
                        <c:v>-0.29999999999999716</c:v>
                      </c:pt>
                      <c:pt idx="56">
                        <c:v>0.45000000000000284</c:v>
                      </c:pt>
                      <c:pt idx="57">
                        <c:v>-1.0649999999999977</c:v>
                      </c:pt>
                      <c:pt idx="58">
                        <c:v>-0.19999999999999574</c:v>
                      </c:pt>
                      <c:pt idx="59">
                        <c:v>-0.39999999999999858</c:v>
                      </c:pt>
                      <c:pt idx="60">
                        <c:v>6.0000000000002274E-2</c:v>
                      </c:pt>
                      <c:pt idx="61">
                        <c:v>-0.52999999999998693</c:v>
                      </c:pt>
                      <c:pt idx="62">
                        <c:v>0.23999999999999488</c:v>
                      </c:pt>
                      <c:pt idx="63">
                        <c:v>6.0000000000002274E-2</c:v>
                      </c:pt>
                      <c:pt idx="64">
                        <c:v>-0.31999999999999318</c:v>
                      </c:pt>
                      <c:pt idx="65">
                        <c:v>0.60999999999999943</c:v>
                      </c:pt>
                      <c:pt idx="66">
                        <c:v>0.28999999999999915</c:v>
                      </c:pt>
                      <c:pt idx="67">
                        <c:v>0.69000000000000483</c:v>
                      </c:pt>
                      <c:pt idx="68">
                        <c:v>9.9999999999980105E-3</c:v>
                      </c:pt>
                      <c:pt idx="69">
                        <c:v>-0.75</c:v>
                      </c:pt>
                      <c:pt idx="70">
                        <c:v>-0.56000000000000227</c:v>
                      </c:pt>
                      <c:pt idx="71">
                        <c:v>-4.9999999999997158E-2</c:v>
                      </c:pt>
                      <c:pt idx="72">
                        <c:v>-0.47999999999999687</c:v>
                      </c:pt>
                      <c:pt idx="73">
                        <c:v>-0.63000000000000256</c:v>
                      </c:pt>
                      <c:pt idx="74">
                        <c:v>1.0000000000005116E-2</c:v>
                      </c:pt>
                      <c:pt idx="75">
                        <c:v>-0.63000000000000966</c:v>
                      </c:pt>
                      <c:pt idx="76">
                        <c:v>-0.71999999999999886</c:v>
                      </c:pt>
                      <c:pt idx="77">
                        <c:v>0.73000000000000398</c:v>
                      </c:pt>
                      <c:pt idx="78">
                        <c:v>3.0000000000001137E-2</c:v>
                      </c:pt>
                      <c:pt idx="79">
                        <c:v>-0.45999999999999375</c:v>
                      </c:pt>
                      <c:pt idx="80">
                        <c:v>-0.5</c:v>
                      </c:pt>
                      <c:pt idx="81">
                        <c:v>0.40999999999999659</c:v>
                      </c:pt>
                      <c:pt idx="82">
                        <c:v>-0.73000000000000398</c:v>
                      </c:pt>
                      <c:pt idx="83">
                        <c:v>-0.28999999999999204</c:v>
                      </c:pt>
                      <c:pt idx="84">
                        <c:v>-0.14999999999999147</c:v>
                      </c:pt>
                      <c:pt idx="85">
                        <c:v>-0.35000000000000853</c:v>
                      </c:pt>
                      <c:pt idx="86">
                        <c:v>1.0200000000000102</c:v>
                      </c:pt>
                      <c:pt idx="87">
                        <c:v>0.45000000000000284</c:v>
                      </c:pt>
                      <c:pt idx="88">
                        <c:v>-0.54999999999999716</c:v>
                      </c:pt>
                      <c:pt idx="89">
                        <c:v>0.56999999999999318</c:v>
                      </c:pt>
                      <c:pt idx="90">
                        <c:v>-0.72999999999998977</c:v>
                      </c:pt>
                      <c:pt idx="91">
                        <c:v>0.47999999999998977</c:v>
                      </c:pt>
                      <c:pt idx="92">
                        <c:v>-0.11999999999999034</c:v>
                      </c:pt>
                      <c:pt idx="93">
                        <c:v>0.77000000000001023</c:v>
                      </c:pt>
                      <c:pt idx="94">
                        <c:v>0.10999999999999943</c:v>
                      </c:pt>
                      <c:pt idx="95">
                        <c:v>-0.57999999999999829</c:v>
                      </c:pt>
                      <c:pt idx="96">
                        <c:v>0.37999999999999545</c:v>
                      </c:pt>
                      <c:pt idx="97">
                        <c:v>0.14000000000000057</c:v>
                      </c:pt>
                      <c:pt idx="98">
                        <c:v>-1.039999999999992</c:v>
                      </c:pt>
                    </c:numCache>
                  </c:numRef>
                </c:val>
                <c:smooth val="0"/>
                <c:extLst xmlns:c15="http://schemas.microsoft.com/office/drawing/2012/chart">
                  <c:ext xmlns:c16="http://schemas.microsoft.com/office/drawing/2014/chart" uri="{C3380CC4-5D6E-409C-BE32-E72D297353CC}">
                    <c16:uniqueId val="{00000008-A184-4945-8B10-089962E2EFDC}"/>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'cocola dataset'!$J$1</c15:sqref>
                        </c15:formulaRef>
                      </c:ext>
                    </c:extLst>
                    <c:strCache>
                      <c:ptCount val="1"/>
                      <c:pt idx="0">
                        <c:v>Revenue</c:v>
                      </c:pt>
                    </c:strCache>
                  </c:strRef>
                </c:tx>
                <c:spPr>
                  <a:ln w="28575" cap="rnd">
                    <a:solidFill>
                      <a:schemeClr val="accent3">
                        <a:lumMod val="60000"/>
                      </a:schemeClr>
                    </a:solidFill>
                    <a:round/>
                  </a:ln>
                  <a:effectLst/>
                </c:spPr>
                <c:marker>
                  <c:symbol val="none"/>
                </c:marker>
                <c:cat>
                  <c:strRef>
                    <c:extLst xmlns:c15="http://schemas.microsoft.com/office/drawing/2012/chart">
                      <c:ext xmlns:c15="http://schemas.microsoft.com/office/drawing/2012/chart" uri="{02D57815-91ED-43cb-92C2-25804820EDAC}">
                        <c15:formulaRef>
                          <c15:sqref>'cocola dataset'!$A$2:$A$100</c15:sqref>
                        </c15:formulaRef>
                      </c:ext>
                    </c:extLst>
                    <c:strCache>
                      <c:ptCount val="99"/>
                      <c:pt idx="0">
                        <c:v>02/28/2025</c:v>
                      </c:pt>
                      <c:pt idx="1">
                        <c:v>02/27/2025</c:v>
                      </c:pt>
                      <c:pt idx="2">
                        <c:v>02/26/2025</c:v>
                      </c:pt>
                      <c:pt idx="3">
                        <c:v>02/25/2025</c:v>
                      </c:pt>
                      <c:pt idx="4">
                        <c:v>02/24/2025</c:v>
                      </c:pt>
                      <c:pt idx="5">
                        <c:v>02/21/2025</c:v>
                      </c:pt>
                      <c:pt idx="6">
                        <c:v>02/20/2025</c:v>
                      </c:pt>
                      <c:pt idx="7">
                        <c:v>02/19/2025</c:v>
                      </c:pt>
                      <c:pt idx="8">
                        <c:v>02/18/2025</c:v>
                      </c:pt>
                      <c:pt idx="9">
                        <c:v>02/14/2025</c:v>
                      </c:pt>
                      <c:pt idx="10">
                        <c:v>02/13/2025</c:v>
                      </c:pt>
                      <c:pt idx="11">
                        <c:v>02-12-2025</c:v>
                      </c:pt>
                      <c:pt idx="12">
                        <c:v>02-11-2025</c:v>
                      </c:pt>
                      <c:pt idx="13">
                        <c:v>02-10-2025</c:v>
                      </c:pt>
                      <c:pt idx="14">
                        <c:v>02-07-2025</c:v>
                      </c:pt>
                      <c:pt idx="15">
                        <c:v>02-06-2025</c:v>
                      </c:pt>
                      <c:pt idx="16">
                        <c:v>02-05-2025</c:v>
                      </c:pt>
                      <c:pt idx="17">
                        <c:v>02-04-2025</c:v>
                      </c:pt>
                      <c:pt idx="18">
                        <c:v>02-03-2025</c:v>
                      </c:pt>
                      <c:pt idx="19">
                        <c:v>01/31/2025</c:v>
                      </c:pt>
                      <c:pt idx="20">
                        <c:v>01/30/2025</c:v>
                      </c:pt>
                      <c:pt idx="21">
                        <c:v>01/29/2025</c:v>
                      </c:pt>
                      <c:pt idx="22">
                        <c:v>01/28/2025</c:v>
                      </c:pt>
                      <c:pt idx="23">
                        <c:v>01/27/2025</c:v>
                      </c:pt>
                      <c:pt idx="24">
                        <c:v>01/24/2025</c:v>
                      </c:pt>
                      <c:pt idx="25">
                        <c:v>01/23/2025</c:v>
                      </c:pt>
                      <c:pt idx="26">
                        <c:v>01/22/2025</c:v>
                      </c:pt>
                      <c:pt idx="27">
                        <c:v>01/21/2025</c:v>
                      </c:pt>
                      <c:pt idx="28">
                        <c:v>01/17/2025</c:v>
                      </c:pt>
                      <c:pt idx="29">
                        <c:v>01/16/2025</c:v>
                      </c:pt>
                      <c:pt idx="30">
                        <c:v>01/15/2025</c:v>
                      </c:pt>
                      <c:pt idx="31">
                        <c:v>01/14/2025</c:v>
                      </c:pt>
                      <c:pt idx="32">
                        <c:v>01/13/2025</c:v>
                      </c:pt>
                      <c:pt idx="33">
                        <c:v>01-10-2025</c:v>
                      </c:pt>
                      <c:pt idx="34">
                        <c:v>01-08-2025</c:v>
                      </c:pt>
                      <c:pt idx="35">
                        <c:v>01-07-2025</c:v>
                      </c:pt>
                      <c:pt idx="36">
                        <c:v>01-06-2025</c:v>
                      </c:pt>
                      <c:pt idx="37">
                        <c:v>01-03-2025</c:v>
                      </c:pt>
                      <c:pt idx="38">
                        <c:v>01-02-2025</c:v>
                      </c:pt>
                      <c:pt idx="39">
                        <c:v>12/31/2024</c:v>
                      </c:pt>
                      <c:pt idx="40">
                        <c:v>12/30/2024</c:v>
                      </c:pt>
                      <c:pt idx="41">
                        <c:v>12/27/2024</c:v>
                      </c:pt>
                      <c:pt idx="42">
                        <c:v>12/26/2024</c:v>
                      </c:pt>
                      <c:pt idx="43">
                        <c:v>12/24/2024</c:v>
                      </c:pt>
                      <c:pt idx="44">
                        <c:v>12/23/2024</c:v>
                      </c:pt>
                      <c:pt idx="45">
                        <c:v>12/20/2024</c:v>
                      </c:pt>
                      <c:pt idx="46">
                        <c:v>12/19/2024</c:v>
                      </c:pt>
                      <c:pt idx="47">
                        <c:v>12/18/2024</c:v>
                      </c:pt>
                      <c:pt idx="48">
                        <c:v>12/17/2024</c:v>
                      </c:pt>
                      <c:pt idx="49">
                        <c:v>12/16/2024</c:v>
                      </c:pt>
                      <c:pt idx="50">
                        <c:v>12/13/2024</c:v>
                      </c:pt>
                      <c:pt idx="51">
                        <c:v>12-12-2024</c:v>
                      </c:pt>
                      <c:pt idx="52">
                        <c:v>12-11-2024</c:v>
                      </c:pt>
                      <c:pt idx="53">
                        <c:v>12-10-2024</c:v>
                      </c:pt>
                      <c:pt idx="54">
                        <c:v>12-09-2024</c:v>
                      </c:pt>
                      <c:pt idx="55">
                        <c:v>12-06-2024</c:v>
                      </c:pt>
                      <c:pt idx="56">
                        <c:v>12-05-2024</c:v>
                      </c:pt>
                      <c:pt idx="57">
                        <c:v>12-04-2024</c:v>
                      </c:pt>
                      <c:pt idx="58">
                        <c:v>12-03-2024</c:v>
                      </c:pt>
                      <c:pt idx="59">
                        <c:v>12-02-2024</c:v>
                      </c:pt>
                      <c:pt idx="60">
                        <c:v>11/29/2024</c:v>
                      </c:pt>
                      <c:pt idx="61">
                        <c:v>11/27/2024</c:v>
                      </c:pt>
                      <c:pt idx="62">
                        <c:v>11/26/2024</c:v>
                      </c:pt>
                      <c:pt idx="63">
                        <c:v>11/25/2024</c:v>
                      </c:pt>
                      <c:pt idx="64">
                        <c:v>11/22/2024</c:v>
                      </c:pt>
                      <c:pt idx="65">
                        <c:v>11/21/2024</c:v>
                      </c:pt>
                      <c:pt idx="66">
                        <c:v>11/20/2024</c:v>
                      </c:pt>
                      <c:pt idx="67">
                        <c:v>11/19/2024</c:v>
                      </c:pt>
                      <c:pt idx="68">
                        <c:v>11/18/2024</c:v>
                      </c:pt>
                      <c:pt idx="69">
                        <c:v>11/15/2024</c:v>
                      </c:pt>
                      <c:pt idx="70">
                        <c:v>11/14/2024</c:v>
                      </c:pt>
                      <c:pt idx="71">
                        <c:v>11/13/2024</c:v>
                      </c:pt>
                      <c:pt idx="72">
                        <c:v>11-12-2024</c:v>
                      </c:pt>
                      <c:pt idx="73">
                        <c:v>11-11-2024</c:v>
                      </c:pt>
                      <c:pt idx="74">
                        <c:v>11-08-2024</c:v>
                      </c:pt>
                      <c:pt idx="75">
                        <c:v>11-07-2024</c:v>
                      </c:pt>
                      <c:pt idx="76">
                        <c:v>11-06-2024</c:v>
                      </c:pt>
                      <c:pt idx="77">
                        <c:v>11-05-2024</c:v>
                      </c:pt>
                      <c:pt idx="78">
                        <c:v>11-04-2024</c:v>
                      </c:pt>
                      <c:pt idx="79">
                        <c:v>11-01-2024</c:v>
                      </c:pt>
                      <c:pt idx="80">
                        <c:v>10/31/2024</c:v>
                      </c:pt>
                      <c:pt idx="81">
                        <c:v>10/30/2024</c:v>
                      </c:pt>
                      <c:pt idx="82">
                        <c:v>10/29/2024</c:v>
                      </c:pt>
                      <c:pt idx="83">
                        <c:v>10/28/2024</c:v>
                      </c:pt>
                      <c:pt idx="84">
                        <c:v>10/25/2024</c:v>
                      </c:pt>
                      <c:pt idx="85">
                        <c:v>10/24/2024</c:v>
                      </c:pt>
                      <c:pt idx="86">
                        <c:v>10/23/2024</c:v>
                      </c:pt>
                      <c:pt idx="87">
                        <c:v>10/22/2024</c:v>
                      </c:pt>
                      <c:pt idx="88">
                        <c:v>10/21/2024</c:v>
                      </c:pt>
                      <c:pt idx="89">
                        <c:v>10/18/2024</c:v>
                      </c:pt>
                      <c:pt idx="90">
                        <c:v>10/17/2024</c:v>
                      </c:pt>
                      <c:pt idx="91">
                        <c:v>10/16/2024</c:v>
                      </c:pt>
                      <c:pt idx="92">
                        <c:v>10/15/2024</c:v>
                      </c:pt>
                      <c:pt idx="93">
                        <c:v>10/14/2024</c:v>
                      </c:pt>
                      <c:pt idx="94">
                        <c:v>10-11-2024</c:v>
                      </c:pt>
                      <c:pt idx="95">
                        <c:v>10-10-2024</c:v>
                      </c:pt>
                      <c:pt idx="96">
                        <c:v>10-09-2024</c:v>
                      </c:pt>
                      <c:pt idx="97">
                        <c:v>10-08-2024</c:v>
                      </c:pt>
                      <c:pt idx="98">
                        <c:v>10-07-2024</c:v>
                      </c:pt>
                    </c:strCache>
                  </c:strRef>
                </c:cat>
                <c:val>
                  <c:numRef>
                    <c:extLst xmlns:c15="http://schemas.microsoft.com/office/drawing/2012/chart">
                      <c:ext xmlns:c15="http://schemas.microsoft.com/office/drawing/2012/chart" uri="{02D57815-91ED-43cb-92C2-25804820EDAC}">
                        <c15:formulaRef>
                          <c15:sqref>'cocola dataset'!$J$2:$J$100</c15:sqref>
                        </c15:formulaRef>
                      </c:ext>
                    </c:extLst>
                    <c:numCache>
                      <c:formatCode>General</c:formatCode>
                      <c:ptCount val="99"/>
                      <c:pt idx="0">
                        <c:v>1578539129.8</c:v>
                      </c:pt>
                      <c:pt idx="1">
                        <c:v>1189870447.6000001</c:v>
                      </c:pt>
                      <c:pt idx="2">
                        <c:v>1028807544</c:v>
                      </c:pt>
                      <c:pt idx="3">
                        <c:v>1541009129.0999999</c:v>
                      </c:pt>
                      <c:pt idx="4">
                        <c:v>1511927679.6000001</c:v>
                      </c:pt>
                      <c:pt idx="5">
                        <c:v>1545601537.4999998</c:v>
                      </c:pt>
                      <c:pt idx="6">
                        <c:v>938396620.4000001</c:v>
                      </c:pt>
                      <c:pt idx="7">
                        <c:v>1123381158.8999999</c:v>
                      </c:pt>
                      <c:pt idx="8">
                        <c:v>1075047736</c:v>
                      </c:pt>
                      <c:pt idx="9">
                        <c:v>1431055928.3000002</c:v>
                      </c:pt>
                      <c:pt idx="10">
                        <c:v>1695323925</c:v>
                      </c:pt>
                      <c:pt idx="11">
                        <c:v>1788779649.5999999</c:v>
                      </c:pt>
                      <c:pt idx="12">
                        <c:v>2067826539.9999998</c:v>
                      </c:pt>
                      <c:pt idx="13">
                        <c:v>1042760065</c:v>
                      </c:pt>
                      <c:pt idx="14">
                        <c:v>841709332.80000007</c:v>
                      </c:pt>
                      <c:pt idx="15">
                        <c:v>850507257.60000002</c:v>
                      </c:pt>
                      <c:pt idx="16">
                        <c:v>674547660</c:v>
                      </c:pt>
                      <c:pt idx="17">
                        <c:v>982540260</c:v>
                      </c:pt>
                      <c:pt idx="18">
                        <c:v>764500198</c:v>
                      </c:pt>
                      <c:pt idx="19">
                        <c:v>768238768.79999995</c:v>
                      </c:pt>
                      <c:pt idx="20">
                        <c:v>845522769</c:v>
                      </c:pt>
                      <c:pt idx="21">
                        <c:v>711589961.19999993</c:v>
                      </c:pt>
                      <c:pt idx="22">
                        <c:v>932658030.79999995</c:v>
                      </c:pt>
                      <c:pt idx="23">
                        <c:v>1324850300.3999999</c:v>
                      </c:pt>
                      <c:pt idx="24">
                        <c:v>1191625632</c:v>
                      </c:pt>
                      <c:pt idx="25">
                        <c:v>1016993682.6</c:v>
                      </c:pt>
                      <c:pt idx="26">
                        <c:v>1123894964.2</c:v>
                      </c:pt>
                      <c:pt idx="27">
                        <c:v>1236981509.4000001</c:v>
                      </c:pt>
                      <c:pt idx="28">
                        <c:v>1125573637.7</c:v>
                      </c:pt>
                      <c:pt idx="29">
                        <c:v>783449242.5</c:v>
                      </c:pt>
                      <c:pt idx="30">
                        <c:v>999883344</c:v>
                      </c:pt>
                      <c:pt idx="31">
                        <c:v>1033480311.6</c:v>
                      </c:pt>
                      <c:pt idx="32">
                        <c:v>1110696880.5</c:v>
                      </c:pt>
                      <c:pt idx="33">
                        <c:v>1369491696.5</c:v>
                      </c:pt>
                      <c:pt idx="34">
                        <c:v>889389204</c:v>
                      </c:pt>
                      <c:pt idx="35">
                        <c:v>1082929489.2</c:v>
                      </c:pt>
                      <c:pt idx="36">
                        <c:v>1089973034.4000001</c:v>
                      </c:pt>
                      <c:pt idx="37">
                        <c:v>642397600</c:v>
                      </c:pt>
                      <c:pt idx="38">
                        <c:v>803362203.20000005</c:v>
                      </c:pt>
                      <c:pt idx="39">
                        <c:v>576319900.63999999</c:v>
                      </c:pt>
                      <c:pt idx="40">
                        <c:v>556546310.36000001</c:v>
                      </c:pt>
                      <c:pt idx="41">
                        <c:v>533496173.85000002</c:v>
                      </c:pt>
                      <c:pt idx="42">
                        <c:v>497158757.37</c:v>
                      </c:pt>
                      <c:pt idx="43">
                        <c:v>315402192.04000002</c:v>
                      </c:pt>
                      <c:pt idx="44">
                        <c:v>811611208.80000007</c:v>
                      </c:pt>
                      <c:pt idx="45">
                        <c:v>2655754155</c:v>
                      </c:pt>
                      <c:pt idx="46">
                        <c:v>1330225592.5</c:v>
                      </c:pt>
                      <c:pt idx="47">
                        <c:v>1316461756.5</c:v>
                      </c:pt>
                      <c:pt idx="48">
                        <c:v>1388610892</c:v>
                      </c:pt>
                      <c:pt idx="49">
                        <c:v>1536211737</c:v>
                      </c:pt>
                      <c:pt idx="50">
                        <c:v>847640373.60000002</c:v>
                      </c:pt>
                      <c:pt idx="51">
                        <c:v>1119887025.6000001</c:v>
                      </c:pt>
                      <c:pt idx="52">
                        <c:v>2055782786.4000001</c:v>
                      </c:pt>
                      <c:pt idx="53">
                        <c:v>940468012.19999993</c:v>
                      </c:pt>
                      <c:pt idx="54">
                        <c:v>1399005458</c:v>
                      </c:pt>
                      <c:pt idx="55">
                        <c:v>974289309.5</c:v>
                      </c:pt>
                      <c:pt idx="56">
                        <c:v>1323859451.2</c:v>
                      </c:pt>
                      <c:pt idx="57">
                        <c:v>1750443828.6000001</c:v>
                      </c:pt>
                      <c:pt idx="58">
                        <c:v>1580027604.8000002</c:v>
                      </c:pt>
                      <c:pt idx="59">
                        <c:v>1050231365</c:v>
                      </c:pt>
                      <c:pt idx="60">
                        <c:v>682346268</c:v>
                      </c:pt>
                      <c:pt idx="61">
                        <c:v>854560862.00000012</c:v>
                      </c:pt>
                      <c:pt idx="62">
                        <c:v>934249578.5</c:v>
                      </c:pt>
                      <c:pt idx="63">
                        <c:v>2369521995</c:v>
                      </c:pt>
                      <c:pt idx="64">
                        <c:v>1250417741.6000001</c:v>
                      </c:pt>
                      <c:pt idx="65">
                        <c:v>1102557048</c:v>
                      </c:pt>
                      <c:pt idx="66">
                        <c:v>1190820280.9000001</c:v>
                      </c:pt>
                      <c:pt idx="67">
                        <c:v>1017389809.7</c:v>
                      </c:pt>
                      <c:pt idx="68">
                        <c:v>994669209.60000002</c:v>
                      </c:pt>
                      <c:pt idx="69">
                        <c:v>1622794534.2</c:v>
                      </c:pt>
                      <c:pt idx="70">
                        <c:v>995221791</c:v>
                      </c:pt>
                      <c:pt idx="71">
                        <c:v>830191320</c:v>
                      </c:pt>
                      <c:pt idx="72">
                        <c:v>949325936</c:v>
                      </c:pt>
                      <c:pt idx="73">
                        <c:v>885827923.20000005</c:v>
                      </c:pt>
                      <c:pt idx="74">
                        <c:v>940858295.20000005</c:v>
                      </c:pt>
                      <c:pt idx="75">
                        <c:v>945736143</c:v>
                      </c:pt>
                      <c:pt idx="76">
                        <c:v>1458682862</c:v>
                      </c:pt>
                      <c:pt idx="77">
                        <c:v>573962981.4000001</c:v>
                      </c:pt>
                      <c:pt idx="78">
                        <c:v>715200795</c:v>
                      </c:pt>
                      <c:pt idx="79">
                        <c:v>790722480.9000001</c:v>
                      </c:pt>
                      <c:pt idx="80">
                        <c:v>874090753.20000005</c:v>
                      </c:pt>
                      <c:pt idx="81">
                        <c:v>934598598.39999998</c:v>
                      </c:pt>
                      <c:pt idx="82">
                        <c:v>1083439315.2</c:v>
                      </c:pt>
                      <c:pt idx="83">
                        <c:v>717463871.39999998</c:v>
                      </c:pt>
                      <c:pt idx="84">
                        <c:v>745363659.60000002</c:v>
                      </c:pt>
                      <c:pt idx="85">
                        <c:v>1182382259</c:v>
                      </c:pt>
                      <c:pt idx="86">
                        <c:v>1676800152.0000002</c:v>
                      </c:pt>
                      <c:pt idx="87">
                        <c:v>1291995712.5</c:v>
                      </c:pt>
                      <c:pt idx="88">
                        <c:v>832091562</c:v>
                      </c:pt>
                      <c:pt idx="89">
                        <c:v>1062764908.8</c:v>
                      </c:pt>
                      <c:pt idx="90">
                        <c:v>1025756637.0000001</c:v>
                      </c:pt>
                      <c:pt idx="91">
                        <c:v>560138577.78999996</c:v>
                      </c:pt>
                      <c:pt idx="92">
                        <c:v>728633068.20000005</c:v>
                      </c:pt>
                      <c:pt idx="93">
                        <c:v>538756428.12</c:v>
                      </c:pt>
                      <c:pt idx="94">
                        <c:v>611264143.25999999</c:v>
                      </c:pt>
                      <c:pt idx="95">
                        <c:v>597984137.5</c:v>
                      </c:pt>
                      <c:pt idx="96">
                        <c:v>628755223.94999993</c:v>
                      </c:pt>
                      <c:pt idx="97">
                        <c:v>937368246.00000012</c:v>
                      </c:pt>
                      <c:pt idx="98">
                        <c:v>1001470359.6</c:v>
                      </c:pt>
                    </c:numCache>
                  </c:numRef>
                </c:val>
                <c:smooth val="0"/>
                <c:extLst xmlns:c15="http://schemas.microsoft.com/office/drawing/2012/chart">
                  <c:ext xmlns:c16="http://schemas.microsoft.com/office/drawing/2014/chart" uri="{C3380CC4-5D6E-409C-BE32-E72D297353CC}">
                    <c16:uniqueId val="{00000009-A184-4945-8B10-089962E2EFDC}"/>
                  </c:ext>
                </c:extLst>
              </c15:ser>
            </c15:filteredLineSeries>
          </c:ext>
        </c:extLst>
      </c:lineChart>
      <c:catAx>
        <c:axId val="12929749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2977311"/>
        <c:crosses val="autoZero"/>
        <c:auto val="1"/>
        <c:lblAlgn val="ctr"/>
        <c:lblOffset val="100"/>
        <c:noMultiLvlLbl val="0"/>
      </c:catAx>
      <c:valAx>
        <c:axId val="129297731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CLOSE / LAST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2974911"/>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5">
  <a:schemeClr val="accent2"/>
</cs:colorStyle>
</file>

<file path=word/charts/colors2.xml><?xml version="1.0" encoding="utf-8"?>
<cs:colorStyle xmlns:cs="http://schemas.microsoft.com/office/drawing/2012/chartStyle" xmlns:a="http://schemas.openxmlformats.org/drawingml/2006/main" meth="withinLinear" id="17">
  <a:schemeClr val="accent4"/>
</cs:colorStyle>
</file>

<file path=word/charts/colors3.xml><?xml version="1.0" encoding="utf-8"?>
<cs:colorStyle xmlns:cs="http://schemas.microsoft.com/office/drawing/2012/chartStyle" xmlns:a="http://schemas.openxmlformats.org/drawingml/2006/main" meth="withinLinearReversed" id="22">
  <a:schemeClr val="accent2"/>
</cs:colorStyle>
</file>

<file path=word/charts/colors4.xml><?xml version="1.0" encoding="utf-8"?>
<cs:colorStyle xmlns:cs="http://schemas.microsoft.com/office/drawing/2012/chartStyle" xmlns:a="http://schemas.openxmlformats.org/drawingml/2006/main" meth="withinLinear" id="17">
  <a:schemeClr val="accent4"/>
</cs:colorStyle>
</file>

<file path=word/charts/colors5.xml><?xml version="1.0" encoding="utf-8"?>
<cs:colorStyle xmlns:cs="http://schemas.microsoft.com/office/drawing/2012/chartStyle" xmlns:a="http://schemas.openxmlformats.org/drawingml/2006/main" meth="withinLinearReversed" id="22">
  <a:schemeClr val="accent2"/>
</cs:colorStyle>
</file>

<file path=word/charts/colors6.xml><?xml version="1.0" encoding="utf-8"?>
<cs:colorStyle xmlns:cs="http://schemas.microsoft.com/office/drawing/2012/chartStyle" xmlns:a="http://schemas.openxmlformats.org/drawingml/2006/main" meth="withinLinear" id="17">
  <a:schemeClr val="accent4"/>
</cs:colorStyle>
</file>

<file path=word/charts/colors7.xml><?xml version="1.0" encoding="utf-8"?>
<cs:colorStyle xmlns:cs="http://schemas.microsoft.com/office/drawing/2012/chartStyle" xmlns:a="http://schemas.openxmlformats.org/drawingml/2006/main" meth="withinLinearReversed" id="22">
  <a:schemeClr val="accent2"/>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6B3CB-B90B-476D-90B9-54EB47914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2324</TotalTime>
  <Pages>12</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Paikrao</dc:creator>
  <cp:keywords/>
  <dc:description/>
  <cp:lastModifiedBy>Shruti Paikrao</cp:lastModifiedBy>
  <cp:revision>32</cp:revision>
  <dcterms:created xsi:type="dcterms:W3CDTF">2025-03-08T12:47:00Z</dcterms:created>
  <dcterms:modified xsi:type="dcterms:W3CDTF">2026-06-04T17:58:00Z</dcterms:modified>
</cp:coreProperties>
</file>