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45C7" w14:textId="34D8A6DB" w:rsidR="00E947F9" w:rsidRPr="00E947F9" w:rsidRDefault="00E947F9" w:rsidP="00E947F9">
      <w:pPr>
        <w:spacing w:after="0" w:line="360" w:lineRule="auto"/>
        <w:jc w:val="center"/>
        <w:rPr>
          <w:rFonts w:ascii="Times New Roman" w:hAnsi="Times New Roman" w:cs="Times New Roman"/>
          <w:b/>
          <w:bCs/>
          <w:color w:val="2F5496" w:themeColor="accent1" w:themeShade="BF"/>
          <w:sz w:val="36"/>
          <w:szCs w:val="36"/>
        </w:rPr>
      </w:pPr>
      <w:r w:rsidRPr="00E947F9">
        <w:rPr>
          <w:rFonts w:ascii="Times New Roman" w:hAnsi="Times New Roman" w:cs="Times New Roman"/>
          <w:b/>
          <w:bCs/>
          <w:color w:val="2F5496" w:themeColor="accent1" w:themeShade="BF"/>
          <w:sz w:val="36"/>
          <w:szCs w:val="36"/>
        </w:rPr>
        <w:t xml:space="preserve">INSURANCE </w:t>
      </w:r>
      <w:r w:rsidR="001658B9">
        <w:rPr>
          <w:rFonts w:ascii="Times New Roman" w:hAnsi="Times New Roman" w:cs="Times New Roman"/>
          <w:b/>
          <w:bCs/>
          <w:color w:val="2F5496" w:themeColor="accent1" w:themeShade="BF"/>
          <w:sz w:val="36"/>
          <w:szCs w:val="36"/>
        </w:rPr>
        <w:t>RISK &amp; CLAIMS ANALYSIS</w:t>
      </w:r>
    </w:p>
    <w:p w14:paraId="1855CD9D" w14:textId="00DB1ABC" w:rsidR="00E947F9" w:rsidRPr="00F252B0" w:rsidRDefault="00E947F9" w:rsidP="00E947F9">
      <w:pPr>
        <w:spacing w:after="0" w:line="360" w:lineRule="auto"/>
        <w:jc w:val="center"/>
        <w:rPr>
          <w:rFonts w:ascii="Times New Roman" w:hAnsi="Times New Roman" w:cs="Times New Roman"/>
          <w:b/>
          <w:bCs/>
          <w:color w:val="002060"/>
          <w:sz w:val="32"/>
          <w:szCs w:val="32"/>
        </w:rPr>
      </w:pPr>
      <w:r w:rsidRPr="00F252B0">
        <w:rPr>
          <w:rFonts w:ascii="Times New Roman" w:hAnsi="Times New Roman" w:cs="Times New Roman"/>
          <w:b/>
          <w:bCs/>
          <w:color w:val="002060"/>
          <w:sz w:val="32"/>
          <w:szCs w:val="32"/>
          <w:highlight w:val="yellow"/>
        </w:rPr>
        <w:t>DOMAIN DOCUMENT</w:t>
      </w:r>
    </w:p>
    <w:p w14:paraId="681B0199" w14:textId="029ABF31"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may influence driving behaviour and insurance risk.</w:t>
      </w:r>
    </w:p>
    <w:p w14:paraId="6F193906" w14:textId="1A9E18EF"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The dataset also captures rich details about the insured vehicle, including car make, model, colour,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14:paraId="35AD9158"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 xml:space="preserve">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w:t>
      </w:r>
      <w:proofErr w:type="spellStart"/>
      <w:r w:rsidRPr="00E947F9">
        <w:rPr>
          <w:rFonts w:ascii="Times New Roman" w:hAnsi="Times New Roman" w:cs="Times New Roman"/>
          <w:color w:val="002060"/>
          <w:sz w:val="24"/>
          <w:szCs w:val="24"/>
        </w:rPr>
        <w:t>behavior</w:t>
      </w:r>
      <w:proofErr w:type="spellEnd"/>
      <w:r w:rsidRPr="00E947F9">
        <w:rPr>
          <w:rFonts w:ascii="Times New Roman" w:hAnsi="Times New Roman" w:cs="Times New Roman"/>
          <w:color w:val="002060"/>
          <w:sz w:val="24"/>
          <w:szCs w:val="24"/>
        </w:rPr>
        <w:t>, since households with multiple young drivers are typically considered riskier by insurers.</w:t>
      </w:r>
    </w:p>
    <w:p w14:paraId="5EADA1AD"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14:paraId="4A2B3550" w14:textId="77777777" w:rsidR="00E947F9" w:rsidRPr="00E947F9" w:rsidRDefault="00E947F9" w:rsidP="00E947F9">
      <w:pPr>
        <w:spacing w:after="0" w:line="360" w:lineRule="auto"/>
        <w:rPr>
          <w:rFonts w:ascii="Times New Roman" w:hAnsi="Times New Roman" w:cs="Times New Roman"/>
          <w:b/>
          <w:bCs/>
          <w:color w:val="002060"/>
          <w:sz w:val="32"/>
          <w:szCs w:val="32"/>
        </w:rPr>
      </w:pPr>
    </w:p>
    <w:p w14:paraId="3A4A2384" w14:textId="1EFCC5F0"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 ID</w:t>
      </w:r>
    </w:p>
    <w:p w14:paraId="49416155"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 unique identifier assigned to each policyholder or insurance record.</w:t>
      </w:r>
    </w:p>
    <w:p w14:paraId="6C3FE6AC"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or text (Primary Key).</w:t>
      </w:r>
    </w:p>
    <w:p w14:paraId="6A814ACB"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D1F46C0"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Ensures each policy/customer record is unique.</w:t>
      </w:r>
    </w:p>
    <w:p w14:paraId="33EA415E"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Not used directly in analysis but essential for data integrity, relationships, and avoiding duplicates.</w:t>
      </w:r>
    </w:p>
    <w:p w14:paraId="3CDA7250"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Business Use:</w:t>
      </w:r>
      <w:r w:rsidRPr="00E947F9">
        <w:rPr>
          <w:rFonts w:ascii="Times New Roman" w:hAnsi="Times New Roman" w:cs="Times New Roman"/>
          <w:sz w:val="24"/>
          <w:szCs w:val="24"/>
        </w:rPr>
        <w:t xml:space="preserve"> Helps track individual policyholders across multiple datasets (e.g., linking claims, payments, or renewals).</w:t>
      </w:r>
    </w:p>
    <w:p w14:paraId="236045A0" w14:textId="72B3602D" w:rsidR="00E947F9" w:rsidRPr="00E947F9" w:rsidRDefault="00E947F9" w:rsidP="00E947F9">
      <w:pPr>
        <w:spacing w:after="0" w:line="360" w:lineRule="auto"/>
        <w:jc w:val="both"/>
        <w:rPr>
          <w:rFonts w:ascii="Times New Roman" w:hAnsi="Times New Roman" w:cs="Times New Roman"/>
          <w:sz w:val="24"/>
          <w:szCs w:val="24"/>
        </w:rPr>
      </w:pPr>
    </w:p>
    <w:p w14:paraId="3F5BC77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2. Birthdate</w:t>
      </w:r>
    </w:p>
    <w:p w14:paraId="3EFF1C5B"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Date of birth of the policyholder.</w:t>
      </w:r>
    </w:p>
    <w:p w14:paraId="5BEFB4E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Date.</w:t>
      </w:r>
    </w:p>
    <w:p w14:paraId="15FB3C8A"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624E25F7"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the </w:t>
      </w:r>
      <w:r w:rsidRPr="00E947F9">
        <w:rPr>
          <w:rFonts w:ascii="Times New Roman" w:hAnsi="Times New Roman" w:cs="Times New Roman"/>
          <w:b/>
          <w:bCs/>
          <w:sz w:val="24"/>
          <w:szCs w:val="24"/>
        </w:rPr>
        <w:t>Age</w:t>
      </w:r>
      <w:r w:rsidRPr="00E947F9">
        <w:rPr>
          <w:rFonts w:ascii="Times New Roman" w:hAnsi="Times New Roman" w:cs="Times New Roman"/>
          <w:sz w:val="24"/>
          <w:szCs w:val="24"/>
        </w:rPr>
        <w:t xml:space="preserve"> of the policyholder.</w:t>
      </w:r>
    </w:p>
    <w:p w14:paraId="6B135888"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 is a strong factor in insurance risk assessment (younger drivers may have more accidents, older drivers may have slower reflexes).</w:t>
      </w:r>
    </w:p>
    <w:p w14:paraId="6038578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C820B0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age groups (e.g., &lt;25, 25–40, 40–60, 60+).</w:t>
      </w:r>
    </w:p>
    <w:p w14:paraId="53EE5F4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Age-based pricing of premiums and risk profiling.</w:t>
      </w:r>
    </w:p>
    <w:p w14:paraId="7ACA8002" w14:textId="667D940F" w:rsidR="00E947F9" w:rsidRPr="00E947F9" w:rsidRDefault="00E947F9" w:rsidP="00E947F9">
      <w:pPr>
        <w:spacing w:after="0" w:line="360" w:lineRule="auto"/>
        <w:jc w:val="both"/>
        <w:rPr>
          <w:rFonts w:ascii="Times New Roman" w:hAnsi="Times New Roman" w:cs="Times New Roman"/>
          <w:sz w:val="24"/>
          <w:szCs w:val="24"/>
        </w:rPr>
      </w:pPr>
    </w:p>
    <w:p w14:paraId="459DBCA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 xml:space="preserve">3. Car </w:t>
      </w:r>
      <w:proofErr w:type="spellStart"/>
      <w:r w:rsidRPr="00E947F9">
        <w:rPr>
          <w:rFonts w:ascii="Times New Roman" w:hAnsi="Times New Roman" w:cs="Times New Roman"/>
          <w:b/>
          <w:bCs/>
          <w:sz w:val="24"/>
          <w:szCs w:val="24"/>
        </w:rPr>
        <w:t>Color</w:t>
      </w:r>
      <w:proofErr w:type="spellEnd"/>
    </w:p>
    <w:p w14:paraId="4F5BD459"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exterior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of the insured car.</w:t>
      </w:r>
    </w:p>
    <w:p w14:paraId="10EE2736"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 (text).</w:t>
      </w:r>
    </w:p>
    <w:p w14:paraId="1B630408"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09E7056"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Although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doesn’t directly affect risk, it can influence </w:t>
      </w:r>
      <w:r w:rsidRPr="00E947F9">
        <w:rPr>
          <w:rFonts w:ascii="Times New Roman" w:hAnsi="Times New Roman" w:cs="Times New Roman"/>
          <w:b/>
          <w:bCs/>
          <w:sz w:val="24"/>
          <w:szCs w:val="24"/>
        </w:rPr>
        <w:t>car visibility, theft probability, and customer preferences</w:t>
      </w:r>
      <w:r w:rsidRPr="00E947F9">
        <w:rPr>
          <w:rFonts w:ascii="Times New Roman" w:hAnsi="Times New Roman" w:cs="Times New Roman"/>
          <w:sz w:val="24"/>
          <w:szCs w:val="24"/>
        </w:rPr>
        <w:t>.</w:t>
      </w:r>
    </w:p>
    <w:p w14:paraId="19486D62"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0A990FC9"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Explore patterns (e.g., some studies suggest red cars might be involved in more speeding cases).</w:t>
      </w:r>
    </w:p>
    <w:p w14:paraId="2CFF5AED"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Insights for fraud detection (unusual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-claim patterns).</w:t>
      </w:r>
    </w:p>
    <w:p w14:paraId="5B5005D2" w14:textId="7AA5EB12" w:rsidR="00E947F9" w:rsidRPr="00E947F9" w:rsidRDefault="00E947F9" w:rsidP="00E947F9">
      <w:pPr>
        <w:spacing w:after="0" w:line="360" w:lineRule="auto"/>
        <w:jc w:val="both"/>
        <w:rPr>
          <w:rFonts w:ascii="Times New Roman" w:hAnsi="Times New Roman" w:cs="Times New Roman"/>
          <w:sz w:val="24"/>
          <w:szCs w:val="24"/>
        </w:rPr>
      </w:pPr>
    </w:p>
    <w:p w14:paraId="27FC2D52"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4. Car Make</w:t>
      </w:r>
    </w:p>
    <w:p w14:paraId="10636913"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manufacturer/brand of the car (e.g., Toyota, Ford, BMW).</w:t>
      </w:r>
    </w:p>
    <w:p w14:paraId="50C2BFEA"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A494ED2"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961ADD3"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Different makes have varying repair costs and accident likelihood.</w:t>
      </w:r>
    </w:p>
    <w:p w14:paraId="435641D5"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F285B79"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car brand.</w:t>
      </w:r>
    </w:p>
    <w:p w14:paraId="2A4A1BA8"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which brands have higher claim frequency (riskier) vs lower claims (safer).</w:t>
      </w:r>
    </w:p>
    <w:p w14:paraId="7813C8AE"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lastRenderedPageBreak/>
        <w:t>Useful for underwriting and premium adjustments.</w:t>
      </w:r>
    </w:p>
    <w:p w14:paraId="2A06B472" w14:textId="4A3819C2" w:rsidR="00E947F9" w:rsidRPr="00E947F9" w:rsidRDefault="00E947F9" w:rsidP="00E947F9">
      <w:pPr>
        <w:spacing w:after="0" w:line="360" w:lineRule="auto"/>
        <w:jc w:val="both"/>
        <w:rPr>
          <w:rFonts w:ascii="Times New Roman" w:hAnsi="Times New Roman" w:cs="Times New Roman"/>
          <w:sz w:val="24"/>
          <w:szCs w:val="24"/>
        </w:rPr>
      </w:pPr>
    </w:p>
    <w:p w14:paraId="5E454F5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5. Car Model</w:t>
      </w:r>
    </w:p>
    <w:p w14:paraId="24023D0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Specific model of the car (e.g., Toyota Corolla, BMW X5).</w:t>
      </w:r>
    </w:p>
    <w:p w14:paraId="04EB6599"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5A5595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360AE94"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Provides deeper granularity beyond car make.</w:t>
      </w:r>
    </w:p>
    <w:p w14:paraId="6F162D0B"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Claim risk can vary significantly between models of the same make.</w:t>
      </w:r>
    </w:p>
    <w:p w14:paraId="40CAF190"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44A1F0D0"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for luxury vs economy models.</w:t>
      </w:r>
    </w:p>
    <w:p w14:paraId="13A02AB1"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loss ratio</w:t>
      </w:r>
      <w:r w:rsidRPr="00E947F9">
        <w:rPr>
          <w:rFonts w:ascii="Times New Roman" w:hAnsi="Times New Roman" w:cs="Times New Roman"/>
          <w:sz w:val="24"/>
          <w:szCs w:val="24"/>
        </w:rPr>
        <w:t xml:space="preserve"> analysis by vehicle type.</w:t>
      </w:r>
    </w:p>
    <w:p w14:paraId="02927496" w14:textId="65410A01" w:rsidR="00E947F9" w:rsidRPr="00E947F9" w:rsidRDefault="00E947F9" w:rsidP="00E947F9">
      <w:pPr>
        <w:spacing w:after="0" w:line="360" w:lineRule="auto"/>
        <w:jc w:val="both"/>
        <w:rPr>
          <w:rFonts w:ascii="Times New Roman" w:hAnsi="Times New Roman" w:cs="Times New Roman"/>
          <w:sz w:val="24"/>
          <w:szCs w:val="24"/>
        </w:rPr>
      </w:pPr>
    </w:p>
    <w:p w14:paraId="478F5F6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6. Car Use</w:t>
      </w:r>
    </w:p>
    <w:p w14:paraId="624AF19E"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primary purpose of the car (e.g., Personal, Commercial, Commute).</w:t>
      </w:r>
    </w:p>
    <w:p w14:paraId="70242206"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353A2209"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3895CE"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Commercial and commuting cars usually have higher claim rates due to greater exposure (more time on the road).</w:t>
      </w:r>
    </w:p>
    <w:p w14:paraId="1FD7ADD8"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3034FF2D"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Pricing policies differently for personal vs commercial use.</w:t>
      </w:r>
    </w:p>
    <w:p w14:paraId="7C2E34AA"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profiling based on usage patterns.</w:t>
      </w:r>
    </w:p>
    <w:p w14:paraId="13A75D5D" w14:textId="0B29C319" w:rsidR="00E947F9" w:rsidRPr="00E947F9" w:rsidRDefault="00E947F9" w:rsidP="00E947F9">
      <w:pPr>
        <w:spacing w:after="0" w:line="360" w:lineRule="auto"/>
        <w:jc w:val="both"/>
        <w:rPr>
          <w:rFonts w:ascii="Times New Roman" w:hAnsi="Times New Roman" w:cs="Times New Roman"/>
          <w:sz w:val="24"/>
          <w:szCs w:val="24"/>
        </w:rPr>
      </w:pPr>
    </w:p>
    <w:p w14:paraId="16B57927"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7. Car Year</w:t>
      </w:r>
    </w:p>
    <w:p w14:paraId="4AF581C4"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manufacturing year of the car.</w:t>
      </w:r>
    </w:p>
    <w:p w14:paraId="478029AC"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1ACB93CA"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EF159DE"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Helps calculate </w:t>
      </w:r>
      <w:r w:rsidRPr="00E947F9">
        <w:rPr>
          <w:rFonts w:ascii="Times New Roman" w:hAnsi="Times New Roman" w:cs="Times New Roman"/>
          <w:b/>
          <w:bCs/>
          <w:sz w:val="24"/>
          <w:szCs w:val="24"/>
        </w:rPr>
        <w:t>Car Age</w:t>
      </w:r>
      <w:r w:rsidRPr="00E947F9">
        <w:rPr>
          <w:rFonts w:ascii="Times New Roman" w:hAnsi="Times New Roman" w:cs="Times New Roman"/>
          <w:sz w:val="24"/>
          <w:szCs w:val="24"/>
        </w:rPr>
        <w:t xml:space="preserve"> = Current Year – Car Year.</w:t>
      </w:r>
    </w:p>
    <w:p w14:paraId="5C1156F0"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Older cars may break down more often or have lower resale/repair costs.</w:t>
      </w:r>
    </w:p>
    <w:p w14:paraId="2041255B"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E42EAAC"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Assess claim likelihood by vehicle age.</w:t>
      </w:r>
    </w:p>
    <w:p w14:paraId="6831C7C9"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Create segments like New (&lt;3 years), Mid-age (3–10 years), Old (&gt;10 years).</w:t>
      </w:r>
    </w:p>
    <w:p w14:paraId="58CA5B3C" w14:textId="5C2E5DC9" w:rsidR="00E947F9" w:rsidRDefault="00E947F9" w:rsidP="00E947F9">
      <w:pPr>
        <w:spacing w:after="0" w:line="360" w:lineRule="auto"/>
        <w:jc w:val="both"/>
        <w:rPr>
          <w:rFonts w:ascii="Times New Roman" w:hAnsi="Times New Roman" w:cs="Times New Roman"/>
          <w:sz w:val="24"/>
          <w:szCs w:val="24"/>
        </w:rPr>
      </w:pPr>
    </w:p>
    <w:p w14:paraId="5D6F8FA1" w14:textId="77777777" w:rsidR="00DE29BA" w:rsidRDefault="00DE29BA" w:rsidP="00E947F9">
      <w:pPr>
        <w:spacing w:after="0" w:line="360" w:lineRule="auto"/>
        <w:jc w:val="both"/>
        <w:rPr>
          <w:rFonts w:ascii="Times New Roman" w:hAnsi="Times New Roman" w:cs="Times New Roman"/>
          <w:sz w:val="24"/>
          <w:szCs w:val="24"/>
        </w:rPr>
      </w:pPr>
    </w:p>
    <w:p w14:paraId="60BCEAF1" w14:textId="77777777" w:rsidR="00DE29BA" w:rsidRPr="00E947F9" w:rsidRDefault="00DE29BA" w:rsidP="00E947F9">
      <w:pPr>
        <w:spacing w:after="0" w:line="360" w:lineRule="auto"/>
        <w:jc w:val="both"/>
        <w:rPr>
          <w:rFonts w:ascii="Times New Roman" w:hAnsi="Times New Roman" w:cs="Times New Roman"/>
          <w:sz w:val="24"/>
          <w:szCs w:val="24"/>
        </w:rPr>
      </w:pPr>
    </w:p>
    <w:p w14:paraId="661AF83E"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8. Coverage Zone</w:t>
      </w:r>
    </w:p>
    <w:p w14:paraId="33B24E7F"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geographic risk area where the policyholder resides/uses the car (e.g., Zone A, Urban, Rural).</w:t>
      </w:r>
    </w:p>
    <w:p w14:paraId="5A7A2E29"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C49B470"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529BE27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Location impacts accident probability, theft risk, and repair costs.</w:t>
      </w:r>
    </w:p>
    <w:p w14:paraId="414C98E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Urban areas → higher claim frequency, rural areas → fewer accidents but possibly more severe damage.</w:t>
      </w:r>
    </w:p>
    <w:p w14:paraId="32936276"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B3522B4"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performance across regions.</w:t>
      </w:r>
    </w:p>
    <w:p w14:paraId="20814B6E"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mapping dashboards in Power BI</w:t>
      </w:r>
      <w:r w:rsidRPr="00E947F9">
        <w:rPr>
          <w:rFonts w:ascii="Times New Roman" w:hAnsi="Times New Roman" w:cs="Times New Roman"/>
          <w:sz w:val="24"/>
          <w:szCs w:val="24"/>
        </w:rPr>
        <w:t>.</w:t>
      </w:r>
    </w:p>
    <w:p w14:paraId="1B376DFD" w14:textId="4A8E0D05" w:rsidR="00E947F9" w:rsidRPr="00E947F9" w:rsidRDefault="00E947F9" w:rsidP="00E947F9">
      <w:pPr>
        <w:spacing w:after="0" w:line="360" w:lineRule="auto"/>
        <w:jc w:val="both"/>
        <w:rPr>
          <w:rFonts w:ascii="Times New Roman" w:hAnsi="Times New Roman" w:cs="Times New Roman"/>
          <w:sz w:val="24"/>
          <w:szCs w:val="24"/>
        </w:rPr>
      </w:pPr>
    </w:p>
    <w:p w14:paraId="3883512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9. Education</w:t>
      </w:r>
    </w:p>
    <w:p w14:paraId="20CC7778"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highest education level attained by the policyholder (e.g., High School, Graduate, Postgraduate).</w:t>
      </w:r>
    </w:p>
    <w:p w14:paraId="5F10029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043F7BED"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81E142"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Education level often correlates with income and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1BAB504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632BF0F"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Check claim frequency by education group.</w:t>
      </w:r>
    </w:p>
    <w:p w14:paraId="33D85613"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Insights for marketing campaigns and segmentation.</w:t>
      </w:r>
    </w:p>
    <w:p w14:paraId="0D6AF684" w14:textId="4696611E" w:rsidR="00E947F9" w:rsidRPr="00E947F9" w:rsidRDefault="00E947F9" w:rsidP="00E947F9">
      <w:pPr>
        <w:spacing w:after="0" w:line="360" w:lineRule="auto"/>
        <w:jc w:val="both"/>
        <w:rPr>
          <w:rFonts w:ascii="Times New Roman" w:hAnsi="Times New Roman" w:cs="Times New Roman"/>
          <w:sz w:val="24"/>
          <w:szCs w:val="24"/>
        </w:rPr>
      </w:pPr>
    </w:p>
    <w:p w14:paraId="5B7FD0B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10. Gender</w:t>
      </w:r>
    </w:p>
    <w:p w14:paraId="5177B1A2"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Gender of the policyholder (Male, Female, Other).</w:t>
      </w:r>
    </w:p>
    <w:p w14:paraId="77E67EEC"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60A0133A"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80E7CB2"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Gender differences in claim patterns may exist.</w:t>
      </w:r>
    </w:p>
    <w:p w14:paraId="5ED2B6B1"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4B7923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analysis by gender group.</w:t>
      </w:r>
    </w:p>
    <w:p w14:paraId="21715A1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Demographic breakdowns in dashboards.</w:t>
      </w:r>
    </w:p>
    <w:p w14:paraId="149A05D7" w14:textId="12188FBF" w:rsidR="00E947F9" w:rsidRPr="00E947F9" w:rsidRDefault="00E947F9" w:rsidP="00E947F9">
      <w:pPr>
        <w:spacing w:after="0" w:line="360" w:lineRule="auto"/>
        <w:jc w:val="both"/>
        <w:rPr>
          <w:rFonts w:ascii="Times New Roman" w:hAnsi="Times New Roman" w:cs="Times New Roman"/>
          <w:sz w:val="24"/>
          <w:szCs w:val="24"/>
        </w:rPr>
      </w:pPr>
    </w:p>
    <w:p w14:paraId="73DEC8A4"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11. Marital Status</w:t>
      </w:r>
    </w:p>
    <w:p w14:paraId="44C43CFB"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Marital status of the policyholder (Single, Married, Divorced, etc.).</w:t>
      </w:r>
    </w:p>
    <w:p w14:paraId="3764375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AABA307"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Details:</w:t>
      </w:r>
    </w:p>
    <w:p w14:paraId="459A13A4"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Married people are often seen as more stable, potentially lower risk.</w:t>
      </w:r>
    </w:p>
    <w:p w14:paraId="42F05B1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9E33309"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between singles vs married customers.</w:t>
      </w:r>
    </w:p>
    <w:p w14:paraId="3C29A428"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Factor in pricing and risk adjustment.</w:t>
      </w:r>
    </w:p>
    <w:p w14:paraId="248B5BBD" w14:textId="534F4FAD" w:rsidR="00E947F9" w:rsidRPr="00E947F9" w:rsidRDefault="00E947F9" w:rsidP="00E947F9">
      <w:pPr>
        <w:spacing w:after="0" w:line="360" w:lineRule="auto"/>
        <w:jc w:val="both"/>
        <w:rPr>
          <w:rFonts w:ascii="Times New Roman" w:hAnsi="Times New Roman" w:cs="Times New Roman"/>
          <w:sz w:val="24"/>
          <w:szCs w:val="24"/>
        </w:rPr>
      </w:pPr>
    </w:p>
    <w:p w14:paraId="114B26E6"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12. Parent</w:t>
      </w:r>
    </w:p>
    <w:p w14:paraId="0B1FF2BD"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Whether the policyholder has children (Yes/No).</w:t>
      </w:r>
    </w:p>
    <w:p w14:paraId="63B00471"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Boolean / Categorical.</w:t>
      </w:r>
    </w:p>
    <w:p w14:paraId="72A73D56"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4E907BA"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Parents may drive differently compared to non-parents.</w:t>
      </w:r>
    </w:p>
    <w:p w14:paraId="4ADA2B3C"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2EB96D45"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claims and policies by parent status.</w:t>
      </w:r>
    </w:p>
    <w:p w14:paraId="1AA1CD0E"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Combine with </w:t>
      </w:r>
      <w:r w:rsidRPr="00E947F9">
        <w:rPr>
          <w:rFonts w:ascii="Times New Roman" w:hAnsi="Times New Roman" w:cs="Times New Roman"/>
          <w:b/>
          <w:bCs/>
          <w:sz w:val="24"/>
          <w:szCs w:val="24"/>
        </w:rPr>
        <w:t>Kids Driving</w:t>
      </w:r>
      <w:r w:rsidRPr="00E947F9">
        <w:rPr>
          <w:rFonts w:ascii="Times New Roman" w:hAnsi="Times New Roman" w:cs="Times New Roman"/>
          <w:sz w:val="24"/>
          <w:szCs w:val="24"/>
        </w:rPr>
        <w:t xml:space="preserve"> for more detailed household analysis.</w:t>
      </w:r>
    </w:p>
    <w:p w14:paraId="4C445585" w14:textId="24B09004" w:rsidR="00E947F9" w:rsidRPr="00E947F9" w:rsidRDefault="00E947F9" w:rsidP="00E947F9">
      <w:pPr>
        <w:spacing w:after="0" w:line="360" w:lineRule="auto"/>
        <w:jc w:val="both"/>
        <w:rPr>
          <w:rFonts w:ascii="Times New Roman" w:hAnsi="Times New Roman" w:cs="Times New Roman"/>
          <w:sz w:val="24"/>
          <w:szCs w:val="24"/>
        </w:rPr>
      </w:pPr>
    </w:p>
    <w:p w14:paraId="7491BB6F"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13. Claim Amt</w:t>
      </w:r>
    </w:p>
    <w:p w14:paraId="15D095A7"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Total monetary value of claims filed by the policyholder.</w:t>
      </w:r>
    </w:p>
    <w:p w14:paraId="7E09D2C0"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(currency).</w:t>
      </w:r>
    </w:p>
    <w:p w14:paraId="59E6FA99"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D289A53"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 critical measure of insurance losses.</w:t>
      </w:r>
    </w:p>
    <w:p w14:paraId="69B5145A"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2DAB55B"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w:t>
      </w:r>
      <w:r w:rsidRPr="00E947F9">
        <w:rPr>
          <w:rFonts w:ascii="Times New Roman" w:hAnsi="Times New Roman" w:cs="Times New Roman"/>
          <w:b/>
          <w:bCs/>
          <w:sz w:val="24"/>
          <w:szCs w:val="24"/>
        </w:rPr>
        <w:t>total losses, average claim amount, and claim ratios</w:t>
      </w:r>
      <w:r w:rsidRPr="00E947F9">
        <w:rPr>
          <w:rFonts w:ascii="Times New Roman" w:hAnsi="Times New Roman" w:cs="Times New Roman"/>
          <w:sz w:val="24"/>
          <w:szCs w:val="24"/>
        </w:rPr>
        <w:t>.</w:t>
      </w:r>
    </w:p>
    <w:p w14:paraId="7B6C5D24"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high-cost claims for fraud detection.</w:t>
      </w:r>
    </w:p>
    <w:p w14:paraId="073E1C4D" w14:textId="2491C012" w:rsidR="00E947F9" w:rsidRPr="00E947F9" w:rsidRDefault="00E947F9" w:rsidP="00E947F9">
      <w:pPr>
        <w:spacing w:after="0" w:line="360" w:lineRule="auto"/>
        <w:jc w:val="both"/>
        <w:rPr>
          <w:rFonts w:ascii="Times New Roman" w:hAnsi="Times New Roman" w:cs="Times New Roman"/>
          <w:sz w:val="24"/>
          <w:szCs w:val="24"/>
        </w:rPr>
      </w:pPr>
    </w:p>
    <w:p w14:paraId="74D070F0"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14. Claim Freq</w:t>
      </w:r>
    </w:p>
    <w:p w14:paraId="7B89A583"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number of claims filed by the policyholder.</w:t>
      </w:r>
    </w:p>
    <w:p w14:paraId="6A9F9C6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83F36F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C2B7F22"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Frequency of claims indicates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2BB93569"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B42D2EF"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KPI for customer risk assessment.</w:t>
      </w:r>
    </w:p>
    <w:p w14:paraId="4DA31A34"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Combined with Claim Amt → identifies whether risk is due to high frequency or high severity.</w:t>
      </w:r>
    </w:p>
    <w:p w14:paraId="05310EA4" w14:textId="06824B7C" w:rsidR="00E947F9" w:rsidRPr="00E947F9" w:rsidRDefault="00E947F9" w:rsidP="00E947F9">
      <w:pPr>
        <w:spacing w:after="0" w:line="360" w:lineRule="auto"/>
        <w:jc w:val="both"/>
        <w:rPr>
          <w:rFonts w:ascii="Times New Roman" w:hAnsi="Times New Roman" w:cs="Times New Roman"/>
          <w:sz w:val="24"/>
          <w:szCs w:val="24"/>
        </w:rPr>
      </w:pPr>
    </w:p>
    <w:p w14:paraId="460B639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15. Household Income</w:t>
      </w:r>
    </w:p>
    <w:p w14:paraId="3DF7C882"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Annual income of the policyholder’s household.</w:t>
      </w:r>
    </w:p>
    <w:p w14:paraId="65D3EF5A"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0E923E85"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B751A3C"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Income level affects affordability of premiums and vehicle type.</w:t>
      </w:r>
    </w:p>
    <w:p w14:paraId="767C1FD3"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2DDCC0E"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income bands.</w:t>
      </w:r>
    </w:p>
    <w:p w14:paraId="61E9E5DD"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 patterns across income groups.</w:t>
      </w:r>
    </w:p>
    <w:p w14:paraId="652432A3"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Target marketing/policy offers (e.g., premium insurance for high-income households).</w:t>
      </w:r>
    </w:p>
    <w:p w14:paraId="38B791E0" w14:textId="4F967876" w:rsidR="00E947F9" w:rsidRPr="00E947F9" w:rsidRDefault="00E947F9" w:rsidP="00E947F9">
      <w:pPr>
        <w:spacing w:after="0" w:line="360" w:lineRule="auto"/>
        <w:jc w:val="both"/>
        <w:rPr>
          <w:rFonts w:ascii="Times New Roman" w:hAnsi="Times New Roman" w:cs="Times New Roman"/>
          <w:sz w:val="24"/>
          <w:szCs w:val="24"/>
        </w:rPr>
      </w:pPr>
    </w:p>
    <w:p w14:paraId="7563FF1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16. Kids Driving</w:t>
      </w:r>
    </w:p>
    <w:p w14:paraId="183ED2FB"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Number of kids in the household who are licensed drivers.</w:t>
      </w:r>
    </w:p>
    <w:p w14:paraId="3D3099C3"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C87989F"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8F6C9E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Values (1, 2, 3…) indicate number of kids driving.</w:t>
      </w:r>
    </w:p>
    <w:p w14:paraId="3EAB8678"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More kids driving generally = higher accident probability.</w:t>
      </w:r>
    </w:p>
    <w:p w14:paraId="5552793E"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8021C9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number of kids driving.</w:t>
      </w:r>
    </w:p>
    <w:p w14:paraId="640F70E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Group into categories (e.g., None, 1 Kid, 2 Kids, 3+ Kids).</w:t>
      </w:r>
    </w:p>
    <w:p w14:paraId="3F6AE93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Helps insurers estimate family household risk.</w:t>
      </w:r>
    </w:p>
    <w:p w14:paraId="5BD132B8" w14:textId="77777777" w:rsidR="00B90E3A" w:rsidRPr="00E947F9" w:rsidRDefault="00B90E3A" w:rsidP="00E947F9">
      <w:pPr>
        <w:spacing w:after="0" w:line="360" w:lineRule="auto"/>
        <w:jc w:val="both"/>
        <w:rPr>
          <w:rFonts w:ascii="Times New Roman" w:hAnsi="Times New Roman" w:cs="Times New Roman"/>
          <w:sz w:val="24"/>
          <w:szCs w:val="24"/>
        </w:rPr>
      </w:pPr>
    </w:p>
    <w:sectPr w:rsidR="00B90E3A" w:rsidRPr="00E947F9" w:rsidSect="0010075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5483C" w14:textId="77777777" w:rsidR="006D64F9" w:rsidRDefault="006D64F9" w:rsidP="0010075B">
      <w:pPr>
        <w:spacing w:after="0" w:line="240" w:lineRule="auto"/>
      </w:pPr>
      <w:r>
        <w:separator/>
      </w:r>
    </w:p>
  </w:endnote>
  <w:endnote w:type="continuationSeparator" w:id="0">
    <w:p w14:paraId="669512AE" w14:textId="77777777" w:rsidR="006D64F9" w:rsidRDefault="006D64F9" w:rsidP="0010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863E" w14:textId="77777777" w:rsidR="0010075B" w:rsidRDefault="00100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B682" w14:textId="77777777" w:rsidR="0010075B" w:rsidRDefault="001007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57F2" w14:textId="77777777" w:rsidR="0010075B" w:rsidRDefault="00100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CA92" w14:textId="77777777" w:rsidR="006D64F9" w:rsidRDefault="006D64F9" w:rsidP="0010075B">
      <w:pPr>
        <w:spacing w:after="0" w:line="240" w:lineRule="auto"/>
      </w:pPr>
      <w:r>
        <w:separator/>
      </w:r>
    </w:p>
  </w:footnote>
  <w:footnote w:type="continuationSeparator" w:id="0">
    <w:p w14:paraId="3C80B6A7" w14:textId="77777777" w:rsidR="006D64F9" w:rsidRDefault="006D64F9" w:rsidP="0010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CEAB" w14:textId="4DFF3247" w:rsidR="0010075B" w:rsidRDefault="00000000">
    <w:pPr>
      <w:pStyle w:val="Header"/>
    </w:pPr>
    <w:r>
      <w:rPr>
        <w:noProof/>
      </w:rPr>
      <w:pict w14:anchorId="55558C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5" o:spid="_x0000_s1026" type="#_x0000_t136" style="position:absolute;margin-left:0;margin-top:0;width:516.95pt;height:119.3pt;rotation:315;z-index:-251655168;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B0D7" w14:textId="616CCA4F" w:rsidR="0010075B" w:rsidRDefault="00000000">
    <w:pPr>
      <w:pStyle w:val="Header"/>
    </w:pPr>
    <w:r>
      <w:rPr>
        <w:noProof/>
      </w:rPr>
      <w:pict w14:anchorId="312131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6" o:spid="_x0000_s1027" type="#_x0000_t136" style="position:absolute;margin-left:0;margin-top:0;width:516.95pt;height:119.3pt;rotation:315;z-index:-251653120;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C044" w14:textId="4F450979" w:rsidR="0010075B" w:rsidRDefault="00000000">
    <w:pPr>
      <w:pStyle w:val="Header"/>
    </w:pPr>
    <w:r>
      <w:rPr>
        <w:noProof/>
      </w:rPr>
      <w:pict w14:anchorId="29EEF5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4" o:spid="_x0000_s1025" type="#_x0000_t136" style="position:absolute;margin-left:0;margin-top:0;width:516.95pt;height:119.3pt;rotation:315;z-index:-251657216;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3D"/>
    <w:multiLevelType w:val="multilevel"/>
    <w:tmpl w:val="74CC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623"/>
    <w:multiLevelType w:val="multilevel"/>
    <w:tmpl w:val="BEE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D"/>
    <w:multiLevelType w:val="multilevel"/>
    <w:tmpl w:val="70C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5C99"/>
    <w:multiLevelType w:val="multilevel"/>
    <w:tmpl w:val="490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CC9"/>
    <w:multiLevelType w:val="multilevel"/>
    <w:tmpl w:val="56BC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0A3"/>
    <w:multiLevelType w:val="multilevel"/>
    <w:tmpl w:val="2E1A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E0C"/>
    <w:multiLevelType w:val="multilevel"/>
    <w:tmpl w:val="6B28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391"/>
    <w:multiLevelType w:val="multilevel"/>
    <w:tmpl w:val="8F48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02FD"/>
    <w:multiLevelType w:val="multilevel"/>
    <w:tmpl w:val="C4CA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4322"/>
    <w:multiLevelType w:val="multilevel"/>
    <w:tmpl w:val="715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E371E"/>
    <w:multiLevelType w:val="multilevel"/>
    <w:tmpl w:val="557C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3ED"/>
    <w:multiLevelType w:val="multilevel"/>
    <w:tmpl w:val="51E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5307B"/>
    <w:multiLevelType w:val="multilevel"/>
    <w:tmpl w:val="383A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69B4"/>
    <w:multiLevelType w:val="multilevel"/>
    <w:tmpl w:val="C690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836AF"/>
    <w:multiLevelType w:val="multilevel"/>
    <w:tmpl w:val="3C9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384"/>
    <w:multiLevelType w:val="multilevel"/>
    <w:tmpl w:val="53F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5138">
    <w:abstractNumId w:val="11"/>
  </w:num>
  <w:num w:numId="2" w16cid:durableId="363755803">
    <w:abstractNumId w:val="2"/>
  </w:num>
  <w:num w:numId="3" w16cid:durableId="1483039117">
    <w:abstractNumId w:val="15"/>
  </w:num>
  <w:num w:numId="4" w16cid:durableId="1400056038">
    <w:abstractNumId w:val="7"/>
  </w:num>
  <w:num w:numId="5" w16cid:durableId="934676942">
    <w:abstractNumId w:val="10"/>
  </w:num>
  <w:num w:numId="6" w16cid:durableId="1988394103">
    <w:abstractNumId w:val="12"/>
  </w:num>
  <w:num w:numId="7" w16cid:durableId="1744984183">
    <w:abstractNumId w:val="8"/>
  </w:num>
  <w:num w:numId="8" w16cid:durableId="1246458034">
    <w:abstractNumId w:val="3"/>
  </w:num>
  <w:num w:numId="9" w16cid:durableId="1359552324">
    <w:abstractNumId w:val="4"/>
  </w:num>
  <w:num w:numId="10" w16cid:durableId="631205980">
    <w:abstractNumId w:val="6"/>
  </w:num>
  <w:num w:numId="11" w16cid:durableId="1984308343">
    <w:abstractNumId w:val="13"/>
  </w:num>
  <w:num w:numId="12" w16cid:durableId="1164012840">
    <w:abstractNumId w:val="1"/>
  </w:num>
  <w:num w:numId="13" w16cid:durableId="502741637">
    <w:abstractNumId w:val="14"/>
  </w:num>
  <w:num w:numId="14" w16cid:durableId="1310478431">
    <w:abstractNumId w:val="9"/>
  </w:num>
  <w:num w:numId="15" w16cid:durableId="2085564759">
    <w:abstractNumId w:val="0"/>
  </w:num>
  <w:num w:numId="16" w16cid:durableId="63879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3B"/>
    <w:rsid w:val="000F7510"/>
    <w:rsid w:val="0010075B"/>
    <w:rsid w:val="001658B9"/>
    <w:rsid w:val="002766D8"/>
    <w:rsid w:val="002D42DB"/>
    <w:rsid w:val="004B4543"/>
    <w:rsid w:val="006D64F9"/>
    <w:rsid w:val="007F4544"/>
    <w:rsid w:val="0093533B"/>
    <w:rsid w:val="00B90E3A"/>
    <w:rsid w:val="00CD3295"/>
    <w:rsid w:val="00DE29BA"/>
    <w:rsid w:val="00E947F9"/>
    <w:rsid w:val="00F2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F4EBF"/>
  <w15:chartTrackingRefBased/>
  <w15:docId w15:val="{A785EC9D-D1A0-4439-8CB3-0993F607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3B"/>
    <w:rPr>
      <w:rFonts w:eastAsiaTheme="majorEastAsia" w:cstheme="majorBidi"/>
      <w:color w:val="272727" w:themeColor="text1" w:themeTint="D8"/>
    </w:rPr>
  </w:style>
  <w:style w:type="paragraph" w:styleId="Title">
    <w:name w:val="Title"/>
    <w:basedOn w:val="Normal"/>
    <w:next w:val="Normal"/>
    <w:link w:val="TitleChar"/>
    <w:uiPriority w:val="10"/>
    <w:qFormat/>
    <w:rsid w:val="0093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3B"/>
    <w:pPr>
      <w:spacing w:before="160"/>
      <w:jc w:val="center"/>
    </w:pPr>
    <w:rPr>
      <w:i/>
      <w:iCs/>
      <w:color w:val="404040" w:themeColor="text1" w:themeTint="BF"/>
    </w:rPr>
  </w:style>
  <w:style w:type="character" w:customStyle="1" w:styleId="QuoteChar">
    <w:name w:val="Quote Char"/>
    <w:basedOn w:val="DefaultParagraphFont"/>
    <w:link w:val="Quote"/>
    <w:uiPriority w:val="29"/>
    <w:rsid w:val="0093533B"/>
    <w:rPr>
      <w:i/>
      <w:iCs/>
      <w:color w:val="404040" w:themeColor="text1" w:themeTint="BF"/>
    </w:rPr>
  </w:style>
  <w:style w:type="paragraph" w:styleId="ListParagraph">
    <w:name w:val="List Paragraph"/>
    <w:basedOn w:val="Normal"/>
    <w:uiPriority w:val="34"/>
    <w:qFormat/>
    <w:rsid w:val="0093533B"/>
    <w:pPr>
      <w:ind w:left="720"/>
      <w:contextualSpacing/>
    </w:pPr>
  </w:style>
  <w:style w:type="character" w:styleId="IntenseEmphasis">
    <w:name w:val="Intense Emphasis"/>
    <w:basedOn w:val="DefaultParagraphFont"/>
    <w:uiPriority w:val="21"/>
    <w:qFormat/>
    <w:rsid w:val="0093533B"/>
    <w:rPr>
      <w:i/>
      <w:iCs/>
      <w:color w:val="2F5496" w:themeColor="accent1" w:themeShade="BF"/>
    </w:rPr>
  </w:style>
  <w:style w:type="paragraph" w:styleId="IntenseQuote">
    <w:name w:val="Intense Quote"/>
    <w:basedOn w:val="Normal"/>
    <w:next w:val="Normal"/>
    <w:link w:val="IntenseQuoteChar"/>
    <w:uiPriority w:val="30"/>
    <w:qFormat/>
    <w:rsid w:val="00935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3B"/>
    <w:rPr>
      <w:i/>
      <w:iCs/>
      <w:color w:val="2F5496" w:themeColor="accent1" w:themeShade="BF"/>
    </w:rPr>
  </w:style>
  <w:style w:type="character" w:styleId="IntenseReference">
    <w:name w:val="Intense Reference"/>
    <w:basedOn w:val="DefaultParagraphFont"/>
    <w:uiPriority w:val="32"/>
    <w:qFormat/>
    <w:rsid w:val="0093533B"/>
    <w:rPr>
      <w:b/>
      <w:bCs/>
      <w:smallCaps/>
      <w:color w:val="2F5496" w:themeColor="accent1" w:themeShade="BF"/>
      <w:spacing w:val="5"/>
    </w:rPr>
  </w:style>
  <w:style w:type="paragraph" w:styleId="Header">
    <w:name w:val="header"/>
    <w:basedOn w:val="Normal"/>
    <w:link w:val="HeaderChar"/>
    <w:uiPriority w:val="99"/>
    <w:unhideWhenUsed/>
    <w:rsid w:val="00100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75B"/>
  </w:style>
  <w:style w:type="paragraph" w:styleId="Footer">
    <w:name w:val="footer"/>
    <w:basedOn w:val="Normal"/>
    <w:link w:val="FooterChar"/>
    <w:uiPriority w:val="99"/>
    <w:unhideWhenUsed/>
    <w:rsid w:val="00100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Swapnajeet A</cp:lastModifiedBy>
  <cp:revision>6</cp:revision>
  <dcterms:created xsi:type="dcterms:W3CDTF">2025-08-21T12:26:00Z</dcterms:created>
  <dcterms:modified xsi:type="dcterms:W3CDTF">2025-08-22T05:16:00Z</dcterms:modified>
</cp:coreProperties>
</file>