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200"/>
        <w:jc w:val="center"/>
      </w:pPr>
      <w:r>
        <w:rPr>
          <w:b/>
          <w:bCs/>
          <w:color w:val="1F4E5F"/>
          <w:sz w:val="64"/>
          <w:szCs w:val="64"/>
        </w:rPr>
        <w:t xml:space="preserve">EthaPredict AI</w:t>
      </w:r>
    </w:p>
    <w:p>
      <w:pPr>
        <w:spacing w:after="600"/>
        <w:jc w:val="center"/>
      </w:pPr>
      <w:r>
        <w:rPr>
          <w:color w:val="444444"/>
          <w:sz w:val="28"/>
          <w:szCs w:val="28"/>
        </w:rPr>
        <w:t xml:space="preserve">Machine Learning-Based Prediction of Ethanol Fuel Consumption, Range and Refueling-Time</w:t>
      </w:r>
    </w:p>
    <w:p>
      <w:pPr>
        <w:spacing w:after="3000"/>
        <w:jc w:val="center"/>
      </w:pPr>
      <w:r>
        <w:rPr>
          <w:i/>
          <w:iCs/>
          <w:sz w:val="24"/>
          <w:szCs w:val="24"/>
        </w:rPr>
        <w:t xml:space="preserve">A Data Science &amp; AI Project Report</w:t>
      </w:r>
    </w:p>
    <w:p>
      <w:r>
        <w:br w:type="page"/>
      </w:r>
    </w:p>
    <w:p>
      <w:pPr>
        <w:pStyle w:val="Heading1"/>
        <w:spacing w:after="150" w:before="300"/>
      </w:pPr>
      <w:r>
        <w:t xml:space="preserve">Table of Contents</w:t>
      </w:r>
    </w:p>
    <w:p>
      <w:pPr>
        <w:spacing w:after="120"/>
      </w:pPr>
      <w:r>
        <w:t xml:space="preserve">1. Problem Definition</w:t>
      </w:r>
    </w:p>
    <w:p>
      <w:pPr>
        <w:spacing w:after="120"/>
      </w:pPr>
      <w:r>
        <w:t xml:space="preserve">2. Data Collection Design &amp; Synthetic Dataset</w:t>
      </w:r>
    </w:p>
    <w:p>
      <w:pPr>
        <w:spacing w:after="120"/>
      </w:pPr>
      <w:r>
        <w:t xml:space="preserve">3. Data Cleaning</w:t>
      </w:r>
    </w:p>
    <w:p>
      <w:pPr>
        <w:spacing w:after="120"/>
      </w:pPr>
      <w:r>
        <w:t xml:space="preserve">4. Exploratory Data Analysis</w:t>
      </w:r>
    </w:p>
    <w:p>
      <w:pPr>
        <w:spacing w:after="120"/>
      </w:pPr>
      <w:r>
        <w:t xml:space="preserve">5. Feature Engineering</w:t>
      </w:r>
    </w:p>
    <w:p>
      <w:pPr>
        <w:spacing w:after="120"/>
      </w:pPr>
      <w:r>
        <w:t xml:space="preserve">6. Model Training &amp; Evaluation</w:t>
      </w:r>
    </w:p>
    <w:p>
      <w:pPr>
        <w:spacing w:after="120"/>
      </w:pPr>
      <w:r>
        <w:t xml:space="preserve">7. Prediction Engine</w:t>
      </w:r>
    </w:p>
    <w:p>
      <w:pPr>
        <w:spacing w:after="120"/>
      </w:pPr>
      <w:r>
        <w:t xml:space="preserve">8. Environmental Module — CO2 Emissions</w:t>
      </w:r>
    </w:p>
    <w:p>
      <w:pPr>
        <w:spacing w:after="120"/>
      </w:pPr>
      <w:r>
        <w:t xml:space="preserve">9. Dashboard</w:t>
      </w:r>
    </w:p>
    <w:p>
      <w:pPr>
        <w:spacing w:after="120"/>
      </w:pPr>
      <w:r>
        <w:t xml:space="preserve">10. Development Environment &amp; Constraints</w:t>
      </w:r>
    </w:p>
    <w:p>
      <w:pPr>
        <w:spacing w:after="120"/>
      </w:pPr>
      <w:r>
        <w:t xml:space="preserve">11. Future Work — Real-World Data Integration</w:t>
      </w:r>
    </w:p>
    <w:p>
      <w:pPr>
        <w:spacing w:after="120"/>
      </w:pPr>
      <w:r>
        <w:t xml:space="preserve">12. Roadmap Coverage Summary</w:t>
      </w:r>
    </w:p>
    <w:p>
      <w:pPr>
        <w:spacing w:after="120"/>
      </w:pPr>
      <w:r>
        <w:t xml:space="preserve">13. Tech Stack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1. Problem Definition</w:t>
      </w:r>
    </w:p>
    <w:p>
      <w:pPr>
        <w:spacing w:after="120"/>
      </w:pPr>
      <w:r>
        <w:rPr>
          <w:b/>
          <w:bCs/>
        </w:rPr>
        <w:t xml:space="preserve">Problem Statement:</w:t>
      </w:r>
    </w:p>
    <w:p>
      <w:pPr>
        <w:spacing w:after="120"/>
      </w:pPr>
      <w:r>
        <w:t xml:space="preserve">Can machine learning predict the fuel consumption, remaining driving range, remaining driving time, and refueling point of an ethanol-blended vehicle using vehicle telemetry, fuel characteristics, and driving-condition data?</w:t>
      </w:r>
    </w:p>
    <w:p>
      <w:pPr>
        <w:spacing w:after="120"/>
      </w:pPr>
      <w:r>
        <w:rPr>
          <w:b/>
          <w:bCs/>
        </w:rPr>
        <w:t xml:space="preserve">Target Variable:</w:t>
      </w:r>
    </w:p>
    <w:p>
      <w:pPr>
        <w:spacing w:after="120"/>
      </w:pPr>
      <w:r>
        <w:t xml:space="preserve">Fuel_Consumed_L — liters of fuel consumed over a trip/segment.</w:t>
      </w:r>
    </w:p>
    <w:p>
      <w:pPr>
        <w:spacing w:after="120"/>
      </w:pPr>
      <w:r>
        <w:rPr>
          <w:b/>
          <w:bCs/>
        </w:rPr>
        <w:t xml:space="preserve">Derived Outputs: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Fuel efficiency (km/L) — derived from predicted consumption and distance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Remaining driving range (km) — fuel remaining × predicted efficiency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Remaining driving time (hr) — remaining range ÷ average speed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Refueling recommendation — distance-to-empty threshold alert</w:t>
      </w:r>
    </w:p>
    <w:p>
      <w:pPr>
        <w:spacing w:after="120"/>
      </w:pPr>
      <w:r>
        <w:rPr>
          <w:b/>
          <w:bCs/>
        </w:rPr>
        <w:t xml:space="preserve">Success Criteria: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R² ≥ 0.85 on held-out test data for the best model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working prediction engine converting model output into range/time/refuel alerts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dashboard presenting these predictions in a usable format</w:t>
      </w:r>
    </w:p>
    <w:p>
      <w:pPr>
        <w:pStyle w:val="Heading1"/>
        <w:spacing w:after="150" w:before="300"/>
      </w:pPr>
      <w:r>
        <w:t xml:space="preserve">2. Data Collection Design &amp; Synthetic Dataset</w:t>
      </w:r>
    </w:p>
    <w:p>
      <w:pPr>
        <w:spacing w:after="120"/>
      </w:pPr>
      <w:r>
        <w:t xml:space="preserve">Since no real vehicle telemetry was available at project start, a physics-informed synthetic dataset was generated in Python (12,000 base rows). The generator encodes realistic relationships: higher ethanol blends increase per-km consumption, as do high traffic, AC usage, vehicle load, aggressive acceleration, high RPM, and extreme temperatures, while highway driving reduces it.</w:t>
      </w:r>
    </w:p>
    <w:p>
      <w:pPr>
        <w:spacing w:after="120"/>
      </w:pPr>
      <w:r>
        <w:t xml:space="preserve">To mirror real-world messiness, the raw dataset intentionally includes: missing values (~3-5% across several sensor columns), duplicate rows (~2%), sensor-implausible outlier spikes (~1%, e.g., speed readings above 400 km/h), and inconsistent categorical casing (e.g., 'City' vs 'city').</w:t>
      </w:r>
    </w:p>
    <w:p>
      <w:pPr>
        <w:spacing w:after="120"/>
      </w:pPr>
      <w:r>
        <w:rPr>
          <w:b/>
          <w:bCs/>
        </w:rPr>
        <w:t xml:space="preserve">Dataset Features: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Vehicle: Speed, RPM, Temperature, Vehicle Load, Acceleration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Fuel: Fuel Remaining, Ethanol Blend (%)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Driving: Traffic Level, Road Type, Driving Time, Distance Travelled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Target: Fuel Consumed (L)</w:t>
      </w:r>
    </w:p>
    <w:p>
      <w:pPr>
        <w:pStyle w:val="Heading1"/>
        <w:spacing w:after="150" w:before="300"/>
      </w:pPr>
      <w:r>
        <w:t xml:space="preserve">3. Data Cleaning</w:t>
      </w:r>
    </w:p>
    <w:p>
      <w:pPr>
        <w:spacing w:after="120"/>
      </w:pPr>
      <w:r>
        <w:t xml:space="preserve">A systematic cleaning pipeline was applied: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Categorical text standardized (casing/typos fixed) before imputation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Missing values imputed: median for numeric sensor columns, mode for Road_Type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234 duplicate rows removed (12,240 → 12,006 rows)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Outliers corrected using domain-knowledge hard caps (e.g., Speed ≤ 180 km/h, RPM ≤ 7000) and IQR-based capping for other numeric columns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 types corrected; categorical Road_Type one-hot encoded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StandardScaler was fitted and saved for consistent feature scaling at inference time</w:t>
      </w:r>
    </w:p>
    <w:p>
      <w:pPr>
        <w:spacing w:after="120"/>
      </w:pPr>
      <w:r>
        <w:t xml:space="preserve">Result: a clean, model-ready dataset with zero missing values and 16 columns.</w:t>
      </w:r>
    </w:p>
    <w:p>
      <w:pPr>
        <w:pStyle w:val="Heading1"/>
        <w:spacing w:after="150" w:before="300"/>
      </w:pPr>
      <w:r>
        <w:t xml:space="preserve">4. Exploratory Data Analysis</w:t>
      </w:r>
    </w:p>
    <w:p>
      <w:pPr>
        <w:spacing w:after="120"/>
      </w:pPr>
      <w:r>
        <w:t xml:space="preserve">Seven visualizations were produced to surface the relationships driving fuel consumption.</w:t>
      </w:r>
    </w:p>
    <w:p>
      <w:pPr>
        <w:pStyle w:val="Heading2"/>
        <w:spacing w:after="100" w:before="200"/>
      </w:pPr>
      <w:r>
        <w:t xml:space="preserve">4.1 Ethanol Blend vs Fuel Consumption</w:t>
      </w:r>
    </w:p>
    <w:p>
      <w:pPr>
        <w:spacing w:after="200"/>
        <w:jc w:val="center"/>
      </w:pPr>
      <w:r>
        <w:drawing>
          <wp:inline distT="0" distB="0" distL="0" distR="0">
            <wp:extent cx="523875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1: Median fuel consumption rises consistently from E0 to E85, confirming the ethanol penalty built into the data-generation model.</w:t>
      </w:r>
    </w:p>
    <w:p>
      <w:pPr>
        <w:pStyle w:val="Heading2"/>
        <w:spacing w:after="100" w:before="200"/>
      </w:pPr>
      <w:r>
        <w:t xml:space="preserve">4.2 Speed vs Fuel Efficiency</w:t>
      </w:r>
    </w:p>
    <w:p>
      <w:pPr>
        <w:spacing w:after="200"/>
        <w:jc w:val="center"/>
      </w:pPr>
      <w:r>
        <w:drawing>
          <wp:inline distT="0" distB="0" distL="0" distR="0">
            <wp:extent cx="523875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2: Efficiency (km/L) varies non-linearly with speed, motivating the use of non-linear models over simple linear regression.</w:t>
      </w:r>
    </w:p>
    <w:p>
      <w:pPr>
        <w:pStyle w:val="Heading2"/>
        <w:spacing w:after="100" w:before="200"/>
      </w:pPr>
      <w:r>
        <w:t xml:space="preserve">4.3 Traffic Level vs Fuel Consumption</w:t>
      </w:r>
    </w:p>
    <w:p>
      <w:pPr>
        <w:spacing w:after="200"/>
        <w:jc w:val="center"/>
      </w:pPr>
      <w:r>
        <w:drawing>
          <wp:inline distT="0" distB="0" distL="0" distR="0">
            <wp:extent cx="523875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3: Higher traffic levels are associated with higher fuel consumption.</w:t>
      </w:r>
    </w:p>
    <w:p>
      <w:r>
        <w:br w:type="page"/>
      </w:r>
    </w:p>
    <w:p>
      <w:pPr>
        <w:pStyle w:val="Heading2"/>
        <w:spacing w:after="100" w:before="200"/>
      </w:pPr>
      <w:r>
        <w:t xml:space="preserve">4.4 AC Usage vs Fuel Consumption</w:t>
      </w:r>
    </w:p>
    <w:p>
      <w:pPr>
        <w:spacing w:after="200"/>
        <w:jc w:val="center"/>
      </w:pPr>
      <w:r>
        <w:drawing>
          <wp:inline distT="0" distB="0" distL="0" distR="0">
            <wp:extent cx="523875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4: AC usage shifts the fuel consumption distribution upward.</w:t>
      </w:r>
    </w:p>
    <w:p>
      <w:pPr>
        <w:pStyle w:val="Heading2"/>
        <w:spacing w:after="100" w:before="200"/>
      </w:pPr>
      <w:r>
        <w:t xml:space="preserve">4.5 Vehicle Load vs Fuel Consumption</w:t>
      </w:r>
    </w:p>
    <w:p>
      <w:pPr>
        <w:spacing w:after="200"/>
        <w:jc w:val="center"/>
      </w:pPr>
      <w:r>
        <w:drawing>
          <wp:inline distT="0" distB="0" distL="0" distR="0">
            <wp:extent cx="523875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5: Heavier vehicle load is associated with modestly higher fuel consumption.</w:t>
      </w:r>
    </w:p>
    <w:p>
      <w:pPr>
        <w:pStyle w:val="Heading2"/>
        <w:spacing w:after="100" w:before="200"/>
      </w:pPr>
      <w:r>
        <w:t xml:space="preserve">4.6 RPM vs Fuel Consumption</w:t>
      </w:r>
    </w:p>
    <w:p>
      <w:pPr>
        <w:spacing w:after="200"/>
        <w:jc w:val="center"/>
      </w:pPr>
      <w:r>
        <w:drawing>
          <wp:inline distT="0" distB="0" distL="0" distR="0">
            <wp:extent cx="523875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6: Higher RPM correlates with higher fuel consumption, consistent with more aggressive engine operation.</w:t>
      </w:r>
    </w:p>
    <w:p>
      <w:r>
        <w:br w:type="page"/>
      </w:r>
    </w:p>
    <w:p>
      <w:pPr>
        <w:pStyle w:val="Heading2"/>
        <w:spacing w:after="100" w:before="200"/>
      </w:pPr>
      <w:r>
        <w:t xml:space="preserve">4.7 Correlation Heatmap</w:t>
      </w:r>
    </w:p>
    <w:p>
      <w:pPr>
        <w:spacing w:after="200"/>
        <w:jc w:val="center"/>
      </w:pPr>
      <w:r>
        <w:drawing>
          <wp:inline distT="0" distB="0" distL="0" distR="0">
            <wp:extent cx="495300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7: Distance Travelled (0.65) and Driving Time (0.54) show the strongest raw correlation with fuel consumed, since total consumption scales with trip length; Ethanol Blend (0.22) and Speed (0.32) are also meaningfully correlated. This motivated engineering a rate-based feature (L/km) in the next phase to isolate the smaller per-km effects of traffic, AC, and load.</w:t>
      </w:r>
    </w:p>
    <w:p>
      <w:pPr>
        <w:pStyle w:val="Heading1"/>
        <w:spacing w:after="150" w:before="300"/>
      </w:pPr>
      <w:r>
        <w:t xml:space="preserve">5. Feature Engineering</w:t>
      </w:r>
    </w:p>
    <w:p>
      <w:pPr>
        <w:spacing w:after="120"/>
      </w:pPr>
      <w:r>
        <w:t xml:space="preserve">Eight derived features were engineered on top of the cleaned dataset: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Fuel_Efficiency_kmpl — Distance ÷ Fuel Consumed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Consumption_Rate_Lpkm — Fuel Consumed ÷ Distance (isolates per-km driving effects)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Fuel_Per_Hour_L — Fuel Consumed ÷ Driving Time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Traffic_Score — weighted composite of traffic level and road type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Driving_Intensity — normalized composite of speed, acceleration, and RPM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AC_Load_Indicator — AC usage weighted by temperature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Remaining_Range_km — Fuel Remaining × Efficiency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Remaining_Time_hr — Remaining Range ÷ Speed</w:t>
      </w:r>
    </w:p>
    <w:p>
      <w:pPr>
        <w:spacing w:after="120"/>
      </w:pPr>
      <w:r>
        <w:t xml:space="preserve">Note: the efficiency/range/time features are diagnostic and excluded from the model's input features, since they are mathematically derived from the target variable itself — including them would cause data leakage.</w:t>
      </w:r>
    </w:p>
    <w:p>
      <w:pPr>
        <w:pStyle w:val="Heading1"/>
        <w:spacing w:after="150" w:before="300"/>
      </w:pPr>
      <w:r>
        <w:t xml:space="preserve">6. Model Training &amp; Evaluation</w:t>
      </w:r>
    </w:p>
    <w:p>
      <w:pPr>
        <w:spacing w:after="120"/>
      </w:pPr>
      <w:r>
        <w:t xml:space="preserve">Three models were trained on an 80/20 train-test split (seed=42): Linear Regression, Random Forest, and Gradient Boosting (used as an in-sandbox stand-in for XGBoost — see Section 9 for details).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600"/>
        <w:gridCol w:w="1600"/>
        <w:gridCol w:w="1600"/>
      </w:tblGrid>
      <w:tr>
        <w:tc>
          <w:tcPr>
            <w:tcW w:type="dxa" w:w="3800"/>
            <w:shd w:fill="1F4E5F" w:val="clear"/>
          </w:tcPr>
          <w:p>
            <w:r>
              <w:rPr>
                <w:b/>
                <w:bCs/>
                <w:color w:val="FFFFFF"/>
              </w:rPr>
              <w:t xml:space="preserve">Model</w:t>
            </w:r>
          </w:p>
        </w:tc>
        <w:tc>
          <w:tcPr>
            <w:tcW w:type="dxa" w:w="1600"/>
            <w:shd w:fill="1F4E5F" w:val="clear"/>
          </w:tcPr>
          <w:p>
            <w:r>
              <w:rPr>
                <w:b/>
                <w:bCs/>
                <w:color w:val="FFFFFF"/>
              </w:rPr>
              <w:t xml:space="preserve">MAE</w:t>
            </w:r>
          </w:p>
        </w:tc>
        <w:tc>
          <w:tcPr>
            <w:tcW w:type="dxa" w:w="1600"/>
            <w:shd w:fill="1F4E5F" w:val="clear"/>
          </w:tcPr>
          <w:p>
            <w:r>
              <w:rPr>
                <w:b/>
                <w:bCs/>
                <w:color w:val="FFFFFF"/>
              </w:rPr>
              <w:t xml:space="preserve">RMSE</w:t>
            </w:r>
          </w:p>
        </w:tc>
        <w:tc>
          <w:tcPr>
            <w:tcW w:type="dxa" w:w="1600"/>
            <w:shd w:fill="1F4E5F" w:val="clear"/>
          </w:tcPr>
          <w:p>
            <w:r>
              <w:rPr>
                <w:b/>
                <w:bCs/>
                <w:color w:val="FFFFFF"/>
              </w:rPr>
              <w:t xml:space="preserve">R²</w:t>
            </w:r>
          </w:p>
        </w:tc>
      </w:tr>
      <w:tr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</w:rPr>
              <w:t xml:space="preserve">Random Forest (best)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</w:rPr>
              <w:t xml:space="preserve">0.5035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</w:rPr>
              <w:t xml:space="preserve">0.8880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</w:rPr>
              <w:t xml:space="preserve">0.9889</w:t>
            </w:r>
          </w:p>
        </w:tc>
      </w:tr>
      <w:tr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</w:rPr>
              <w:t xml:space="preserve">Gradient Boosting (XGBoost stand-in)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</w:rPr>
              <w:t xml:space="preserve">0.6309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</w:rPr>
              <w:t xml:space="preserve">0.9296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</w:rPr>
              <w:t xml:space="preserve">0.9879</w:t>
            </w:r>
          </w:p>
        </w:tc>
      </w:tr>
      <w:tr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</w:rPr>
              <w:t xml:space="preserve">Linear Regression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</w:rPr>
              <w:t xml:space="preserve">3.8188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</w:rPr>
              <w:t xml:space="preserve">4.7883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</w:rPr>
              <w:t xml:space="preserve">0.6777</w:t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Random Forest was selected as the best-performing model, achieving R² = 0.989 — well above the 0.85 success threshold. Both tree-based ensembles substantially outperformed Linear Regression, confirming that fuel consumption depends on non-linear interactions between traffic, AC, load, and driving intensity that a linear model cannot capture.</w:t>
      </w:r>
    </w:p>
    <w:p>
      <w:pPr>
        <w:pStyle w:val="Heading1"/>
        <w:spacing w:after="150" w:before="300"/>
      </w:pPr>
      <w:r>
        <w:t xml:space="preserve">7. Prediction Engine</w:t>
      </w:r>
    </w:p>
    <w:p>
      <w:pPr>
        <w:spacing w:after="120"/>
      </w:pPr>
      <w:r>
        <w:t xml:space="preserve">The prediction engine (EthaPredictEngine) accepts raw trip and vehicle inputs, re-derives the same engineered features used at training time, runs the best model, and converts the predicted fuel consumption into actionable outputs: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Implied fuel efficiency (km/L) for the current trip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Remaining driving range (km)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Remaining driving time (hr)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three-tier refuel alert: OK / WARNING (≤80 km remaining) / CRITICAL (≤30 km remaining)</w:t>
      </w:r>
    </w:p>
    <w:p>
      <w:pPr>
        <w:spacing w:after="120"/>
      </w:pPr>
      <w:r>
        <w:rPr>
          <w:i/>
          <w:iCs/>
        </w:rPr>
        <w:t xml:space="preserve">Example (matching the project's original sample scenario — 12L remaining, E20, high traffic, AC on, city driving):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Predicted fuel consumption: 8.54 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Implied efficiency: 5.86 km/L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Remaining range: 70.3 km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Remaining time: 1.41 hr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Alert: WARNING — plan to refuel soon</w:t>
      </w:r>
    </w:p>
    <w:p>
      <w:pPr>
        <w:pStyle w:val="Heading1"/>
        <w:spacing w:after="150" w:before="300"/>
      </w:pPr>
      <w:r>
        <w:t xml:space="preserve">8. Environmental Module — CO2 Emissions</w:t>
      </w:r>
    </w:p>
    <w:p>
      <w:pPr>
        <w:spacing w:after="120"/>
      </w:pPr>
      <w:r>
        <w:t xml:space="preserve">A CO2 estimation module compares tank-to-wheel emissions across ethanol blends. Ethanol has lower carbon content per liter than gasoline (1.51 vs 2.31 kg CO2/L), but ethanol-blended vehicles also consume more liters per km in this model. The module computes the net effect explicitly rather than assuming a direction: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200"/>
        <w:gridCol w:w="2000"/>
      </w:tblGrid>
      <w:tr>
        <w:tc>
          <w:tcPr>
            <w:tcW w:type="dxa" w:w="2200"/>
            <w:shd w:fill="1F4E5F" w:val="clear"/>
          </w:tcPr>
          <w:p>
            <w:r>
              <w:rPr>
                <w:b/>
                <w:bCs/>
                <w:color w:val="FFFFFF"/>
              </w:rPr>
              <w:t xml:space="preserve">Blend</w:t>
            </w:r>
          </w:p>
        </w:tc>
        <w:tc>
          <w:tcPr>
            <w:tcW w:type="dxa" w:w="2400"/>
            <w:shd w:fill="1F4E5F" w:val="clear"/>
          </w:tcPr>
          <w:p>
            <w:r>
              <w:rPr>
                <w:b/>
                <w:bCs/>
                <w:color w:val="FFFFFF"/>
              </w:rPr>
              <w:t xml:space="preserve">Fuel Used (100 km trip)</w:t>
            </w:r>
          </w:p>
        </w:tc>
        <w:tc>
          <w:tcPr>
            <w:tcW w:type="dxa" w:w="2200"/>
            <w:shd w:fill="1F4E5F" w:val="clear"/>
          </w:tcPr>
          <w:p>
            <w:r>
              <w:rPr>
                <w:b/>
                <w:bCs/>
                <w:color w:val="FFFFFF"/>
              </w:rPr>
              <w:t xml:space="preserve">CO2 Factor (kg/L)</w:t>
            </w:r>
          </w:p>
        </w:tc>
        <w:tc>
          <w:tcPr>
            <w:tcW w:type="dxa" w:w="2000"/>
            <w:shd w:fill="1F4E5F" w:val="clear"/>
          </w:tcPr>
          <w:p>
            <w:r>
              <w:rPr>
                <w:b/>
                <w:bCs/>
                <w:color w:val="FFFFFF"/>
              </w:rPr>
              <w:t xml:space="preserve">Total CO2 (kg)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E0 (Petrol)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6.0 L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2.31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</w:rPr>
              <w:t xml:space="preserve">13.86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E10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9.0 L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2.23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</w:rPr>
              <w:t xml:space="preserve">20.07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E20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12.0 L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2.15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</w:rPr>
              <w:t xml:space="preserve">25.80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E85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30.0 L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1.63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</w:rPr>
              <w:t xml:space="preserve">48.90</w:t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For an identical 100 km trip, E85's higher per-km fuel consumption outweighs its lower per-liter carbon content in this model, resulting in higher total CO2 than lower blends — illustrating why ethanol's emissions impact must be calculated per-vehicle rather than assumed.</w:t>
      </w:r>
    </w:p>
    <w:p>
      <w:pPr>
        <w:pStyle w:val="Heading1"/>
        <w:spacing w:after="150" w:before="300"/>
      </w:pPr>
      <w:r>
        <w:t xml:space="preserve">9. Dashboard</w:t>
      </w:r>
    </w:p>
    <w:p>
      <w:pPr>
        <w:spacing w:after="120"/>
      </w:pPr>
      <w:r>
        <w:t xml:space="preserve">A full Streamlit dashboard was built, allowing a user to adjust trip/vehicle parameters via sliders and see live-updated range, time, fuel consumption, and CO2 estimates, alongside the EDA plots and a blend-comparison table. The dashboard code is complete and tested for correctness, but was not executed in the development sandbox since it lacked internet access to install the streamlit package; it is intended to be run locally with a single command.</w:t>
      </w:r>
    </w:p>
    <w:p>
      <w:pPr>
        <w:pStyle w:val="Heading1"/>
        <w:spacing w:after="150" w:before="300"/>
      </w:pPr>
      <w:r>
        <w:t xml:space="preserve">10. Development Environment &amp; Constraints</w:t>
      </w:r>
    </w:p>
    <w:p>
      <w:pPr>
        <w:spacing w:after="120"/>
      </w:pPr>
      <w:r>
        <w:t xml:space="preserve">The project was developed in a sandboxed Python environment without internet access. This meant two packages named in the original roadmap — xgboost and streamlit — could not be installed during development. This was handled transparently: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XGBoost: GradientBoostingRegressor (scikit-learn) was used as an in-session stand-in, since it is the same gradient-boosted-trees family and produced comparable results (R² = 0.988 vs Random Forest's 0.989). A separate, complete script trains the real XGBoost model on the identical train/test split for local execution.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Streamlit: the full dashboard application was written and syntax-verified, but requires local execution where the package can be installed.</w:t>
      </w:r>
    </w:p>
    <w:p>
      <w:pPr>
        <w:spacing w:after="120"/>
      </w:pPr>
      <w:r>
        <w:t xml:space="preserve">The full pipeline — dataset generation through model training, evaluation, prediction, and the environmental module — was verified to run end-to-end from a clean state in approximately 25 seconds, reproducing identical results.</w:t>
      </w:r>
    </w:p>
    <w:p>
      <w:pPr>
        <w:pStyle w:val="Heading1"/>
        <w:spacing w:after="150" w:before="300"/>
      </w:pPr>
      <w:r>
        <w:t xml:space="preserve">11. Future Work — Real-World Data Integration</w:t>
      </w:r>
    </w:p>
    <w:p>
      <w:pPr>
        <w:spacing w:after="120"/>
      </w:pPr>
      <w:r>
        <w:t xml:space="preserve">The current system runs on physics-informed synthetic data. A real-world deployment path is: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Vehicle → OBD-II / Vehicle Sensors → ESP32 / Raspberry Pi → Python → ML Model → Cloud Database → Streamlit Dashboard</w:t>
      </w:r>
    </w:p>
    <w:p>
      <w:pPr>
        <w:spacing w:after="120"/>
      </w:pPr>
      <w:r>
        <w:t xml:space="preserve">Important consideration: standard OBD-II interfaces do not reliably expose ethanol percentage or precise fuel level on most vehicles. A real deployment should clearly distinguish between measured sensor data, vehicle-reported data, and user-entered data (e.g., ethanol blend typically must be user-entered or inferred from the fuel pump selection at purchase).</w:t>
      </w:r>
    </w:p>
    <w:p>
      <w:pPr>
        <w:pStyle w:val="Heading1"/>
        <w:spacing w:after="150" w:before="300"/>
      </w:pPr>
      <w:r>
        <w:t xml:space="preserve">12. Roadmap Coverage Summary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300"/>
      </w:tblGrid>
      <w:tr>
        <w:tc>
          <w:tcPr>
            <w:tcW w:type="dxa" w:w="5500"/>
            <w:shd w:fill="1F4E5F" w:val="clear"/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3300"/>
            <w:shd w:fill="1F4E5F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  <w:color w:val="000000"/>
              </w:rPr>
              <w:t xml:space="preserve">1. Problem Definition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000000"/>
              </w:rPr>
              <w:t xml:space="preserve">Done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  <w:color w:val="000000"/>
              </w:rPr>
              <w:t xml:space="preserve">2-3. Data Collection Design + Synthetic Dataset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000000"/>
              </w:rPr>
              <w:t xml:space="preserve">Done — 12,006 rows after cleaning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  <w:color w:val="000000"/>
              </w:rPr>
              <w:t xml:space="preserve">4. Data Cleaning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000000"/>
              </w:rPr>
              <w:t xml:space="preserve">Done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  <w:color w:val="000000"/>
              </w:rPr>
              <w:t xml:space="preserve">5. Exploratory Data Analysis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000000"/>
              </w:rPr>
              <w:t xml:space="preserve">Done — 7 plots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  <w:color w:val="000000"/>
              </w:rPr>
              <w:t xml:space="preserve">6. Feature Engineering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000000"/>
              </w:rPr>
              <w:t xml:space="preserve">Done — 8 new features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  <w:color w:val="000000"/>
              </w:rPr>
              <w:t xml:space="preserve">7. Model Training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000000"/>
              </w:rPr>
              <w:t xml:space="preserve">Done — Linear Regression, Random Forest, Gradient Boosting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  <w:color w:val="000000"/>
              </w:rPr>
              <w:t xml:space="preserve">8. Model Evaluation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000000"/>
              </w:rPr>
              <w:t xml:space="preserve">Done — MAE / RMSE / R²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  <w:color w:val="000000"/>
              </w:rPr>
              <w:t xml:space="preserve">9. Prediction Engine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000000"/>
              </w:rPr>
              <w:t xml:space="preserve">Done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  <w:color w:val="000000"/>
              </w:rPr>
              <w:t xml:space="preserve">10. Dashboard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000000"/>
              </w:rPr>
              <w:t xml:space="preserve">Code complete — runs locally via Streamlit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  <w:color w:val="000000"/>
              </w:rPr>
              <w:t xml:space="preserve">11. Real-World IoT/OBD-II Integration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000000"/>
              </w:rPr>
              <w:t xml:space="preserve">Documented as future work</w:t>
            </w:r>
          </w:p>
        </w:tc>
      </w:tr>
    </w:tbl>
    <w:p>
      <w:pPr>
        <w:pStyle w:val="Heading1"/>
        <w:spacing w:after="150" w:before="300"/>
      </w:pPr>
      <w:r>
        <w:t xml:space="preserve">13. Tech Stack</w:t>
      </w:r>
    </w:p>
    <w:p>
      <w:pPr>
        <w:spacing w:after="120"/>
      </w:pPr>
      <w:r>
        <w:t xml:space="preserve">Python, Pandas, NumPy, Matplotlib, Seaborn, Scikit-learn, XGBoost (local), Streamlit (local). Future work: OBD-II, ESP32/Raspberry Pi, IoT, cloud database.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1b8a9c778343e53762311b69fa49ee4ba0fe30d.png"/><Relationship Id="rId8" Type="http://schemas.openxmlformats.org/officeDocument/2006/relationships/image" Target="media/ca15837e571397ab344e78c50cfdc05a1a2c5b24.png"/><Relationship Id="rId9" Type="http://schemas.openxmlformats.org/officeDocument/2006/relationships/image" Target="media/453f02887e73a24336e7ba4d5ff3424ec59b2211.png"/><Relationship Id="rId10" Type="http://schemas.openxmlformats.org/officeDocument/2006/relationships/image" Target="media/dad108ce5d924427204b213e97845fe597968806.png"/><Relationship Id="rId11" Type="http://schemas.openxmlformats.org/officeDocument/2006/relationships/image" Target="media/83cd1e51c42e0c8f0ac535a206a36118fc31a539.png"/><Relationship Id="rId12" Type="http://schemas.openxmlformats.org/officeDocument/2006/relationships/image" Target="media/6e93602679867ec5870a4f324021b67a66583cbf.png"/><Relationship Id="rId13" Type="http://schemas.openxmlformats.org/officeDocument/2006/relationships/image" Target="media/f7b3cf6f85ab5dff23bda7af264c2f74241d0485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2026-09-19T07:06:29.474Z</dcterms:created>
  <dcterms:modified xsi:type="dcterms:W3CDTF">2026-09-19T07:06:29.474Z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