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365D"/>
        </w:rPr>
        <w:t>Business Requirements Document (BRD)</w:t>
      </w:r>
    </w:p>
    <w:p>
      <w:pPr>
        <w:spacing w:after="40"/>
      </w:pPr>
      <w:r>
        <w:rPr>
          <w:b/>
          <w:color w:val="1B365D"/>
        </w:rPr>
        <w:t xml:space="preserve">Project Name: </w:t>
      </w:r>
      <w:r>
        <w:t>Zydus CareConnect — Omnichannel Hospital Appointment Booking &amp; Queue Optimization System</w:t>
      </w:r>
    </w:p>
    <w:p>
      <w:pPr>
        <w:spacing w:after="40"/>
      </w:pPr>
      <w:r>
        <w:rPr>
          <w:b/>
          <w:color w:val="1B365D"/>
        </w:rPr>
        <w:t xml:space="preserve">Organization: </w:t>
      </w:r>
      <w:r>
        <w:t>Zydus Hospitals (Hypothetical Pan-India Multispecialty Network Case Study)</w:t>
      </w:r>
    </w:p>
    <w:p>
      <w:pPr>
        <w:spacing w:after="40"/>
      </w:pPr>
      <w:r>
        <w:rPr>
          <w:b/>
          <w:color w:val="1B365D"/>
        </w:rPr>
        <w:t xml:space="preserve">Document Version: </w:t>
      </w:r>
      <w:r>
        <w:t>2.1 (BABOK v3 Aligned Portfolio Draft — Proposed for Validation)</w:t>
      </w:r>
    </w:p>
    <w:p>
      <w:pPr>
        <w:spacing w:after="40"/>
      </w:pPr>
      <w:r>
        <w:rPr>
          <w:b/>
          <w:color w:val="1B365D"/>
        </w:rPr>
        <w:t xml:space="preserve">Lead Business Analyst: </w:t>
      </w:r>
      <w:r>
        <w:t>Shruti Thacker (@shrutithacker14)</w:t>
      </w:r>
    </w:p>
    <w:p>
      <w:pPr>
        <w:pStyle w:val="Heading1"/>
      </w:pPr>
      <w:r>
        <w:t>1. Executive Summary &amp; Business Problem</w:t>
      </w:r>
    </w:p>
    <w:p>
      <w:r>
        <w:t>For this hypothetical business analysis case study, Zydus Hospitals is modeled across 7 multispecialty units in 6 regional markets (Gujarat [Ahmedabad &amp; Bhuj], Maharashtra [Mumbai], Rajasthan [Jaipur], Delhi NCR [New Delhi], Karnataka [Bengaluru], and Tamil Nadu [Chennai]), handling an assumed baseline volume of approximately 1,250 Outpatient Department (OPD) consultations daily. The scenario models a transition from decentralized telephone lines, physical registers, and standalone spreadsheets to a centralized omnichannel appointment and queue management platform.</w:t>
      </w:r>
    </w:p>
    <w:p>
      <w:pPr>
        <w:pStyle w:val="ListBullet"/>
      </w:pPr>
      <w:r>
        <w:t>23.92% synthetic no-show share (As-Is): 598 of 2,500 baseline records are marked No-Show (accounting for ₹4,45,250 in simulated unbilled slot value), compared to 7.28% (182 of 2,500; ₹1,39,700) in the To-Be cohort.</w:t>
      </w:r>
    </w:p>
    <w:p>
      <w:pPr>
        <w:pStyle w:val="ListBullet"/>
      </w:pPr>
      <w:r>
        <w:t>11.36-minute mean booking turnaround (As-Is): Baseline bookings via Phone Call (60.40%) and Walk-In Desk (39.60%) average 11.36 minutes, compared to 1.79 minutes across the omnichannel To-Be cohort.</w:t>
      </w:r>
    </w:p>
    <w:p>
      <w:pPr>
        <w:pStyle w:val="ListBullet"/>
      </w:pPr>
      <w:r>
        <w:t>14.76% double-booking conflict share (As-Is): 369 baseline bookings experienced concurrent slot conflicts, contributing to a 48.52-minute mean OPD waiting hall time for completed visits (reduced to 14.25 minutes in the To-Be cohort).</w:t>
      </w:r>
    </w:p>
    <w:p>
      <w:pPr>
        <w:pStyle w:val="ListBullet"/>
      </w:pPr>
      <w:r>
        <w:t>4.83% cancelled slot refill rate (As-Is): Only 18 of 373 cancelled baseline appointments were manually reallocated, compared to 78.17% (154 of 197) in the To-Be cohort with automated waitlist promotion.</w:t>
      </w:r>
    </w:p>
    <w:p>
      <w:pPr>
        <w:pStyle w:val="Heading1"/>
      </w:pPr>
      <w:r>
        <w:t>2. Business Objectives &amp; Target KPIs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1B365D"/>
          </w:tcPr>
          <w:p>
            <w:r>
              <w:rPr>
                <w:b/>
                <w:color w:val="FFFFFF"/>
                <w:sz w:val="19"/>
              </w:rPr>
              <w:t>KPI ID</w:t>
            </w:r>
          </w:p>
        </w:tc>
        <w:tc>
          <w:tcPr>
            <w:tcW w:type="dxa" w:w="1680"/>
            <w:shd w:val="clear" w:color="auto" w:fill="1B365D"/>
          </w:tcPr>
          <w:p>
            <w:r>
              <w:rPr>
                <w:b/>
                <w:color w:val="FFFFFF"/>
                <w:sz w:val="19"/>
              </w:rPr>
              <w:t>KPI Metric</w:t>
            </w:r>
          </w:p>
        </w:tc>
        <w:tc>
          <w:tcPr>
            <w:tcW w:type="dxa" w:w="1680"/>
            <w:shd w:val="clear" w:color="auto" w:fill="1B365D"/>
          </w:tcPr>
          <w:p>
            <w:r>
              <w:rPr>
                <w:b/>
                <w:color w:val="FFFFFF"/>
                <w:sz w:val="19"/>
              </w:rPr>
              <w:t>Baseline (As-Is)</w:t>
            </w:r>
          </w:p>
        </w:tc>
        <w:tc>
          <w:tcPr>
            <w:tcW w:type="dxa" w:w="1680"/>
            <w:shd w:val="clear" w:color="auto" w:fill="1B365D"/>
          </w:tcPr>
          <w:p>
            <w:r>
              <w:rPr>
                <w:b/>
                <w:color w:val="FFFFFF"/>
                <w:sz w:val="19"/>
              </w:rPr>
              <w:t>Target (To-Be)</w:t>
            </w:r>
          </w:p>
        </w:tc>
        <w:tc>
          <w:tcPr>
            <w:tcW w:type="dxa" w:w="1680"/>
            <w:shd w:val="clear" w:color="auto" w:fill="1B365D"/>
          </w:tcPr>
          <w:p>
            <w:r>
              <w:rPr>
                <w:b/>
                <w:color w:val="FFFFFF"/>
                <w:sz w:val="19"/>
              </w:rPr>
              <w:t>To-Be Sample</w:t>
            </w:r>
          </w:p>
        </w:tc>
        <w:tc>
          <w:tcPr>
            <w:tcW w:type="dxa" w:w="1680"/>
            <w:shd w:val="clear" w:color="auto" w:fill="1B365D"/>
          </w:tcPr>
          <w:p>
            <w:r>
              <w:rPr>
                <w:b/>
                <w:color w:val="FFFFFF"/>
                <w:sz w:val="19"/>
              </w:rPr>
              <w:t>Validation Approach</w:t>
            </w:r>
          </w:p>
        </w:tc>
      </w:tr>
      <w:tr>
        <w:tc>
          <w:tcPr>
            <w:tcW w:type="dxa" w:w="1680"/>
          </w:tcPr>
          <w:p>
            <w:r>
              <w:rPr>
                <w:sz w:val="18"/>
              </w:rPr>
              <w:t>KPI-01</w:t>
            </w:r>
          </w:p>
        </w:tc>
        <w:tc>
          <w:tcPr>
            <w:tcW w:type="dxa" w:w="1680"/>
          </w:tcPr>
          <w:p>
            <w:r>
              <w:rPr>
                <w:sz w:val="18"/>
              </w:rPr>
              <w:t>OPD No-Show Share</w:t>
            </w:r>
          </w:p>
        </w:tc>
        <w:tc>
          <w:tcPr>
            <w:tcW w:type="dxa" w:w="1680"/>
          </w:tcPr>
          <w:p>
            <w:r>
              <w:rPr>
                <w:sz w:val="18"/>
              </w:rPr>
              <w:t>23.92% (598/2,500)</w:t>
            </w:r>
          </w:p>
        </w:tc>
        <w:tc>
          <w:tcPr>
            <w:tcW w:type="dxa" w:w="1680"/>
          </w:tcPr>
          <w:p>
            <w:r>
              <w:rPr>
                <w:sz w:val="18"/>
              </w:rPr>
              <w:t>&lt; 8.0%</w:t>
            </w:r>
          </w:p>
        </w:tc>
        <w:tc>
          <w:tcPr>
            <w:tcW w:type="dxa" w:w="1680"/>
          </w:tcPr>
          <w:p>
            <w:r>
              <w:rPr>
                <w:sz w:val="18"/>
              </w:rPr>
              <w:t>7.28% (182/2,500)</w:t>
            </w:r>
          </w:p>
        </w:tc>
        <w:tc>
          <w:tcPr>
            <w:tcW w:type="dxa" w:w="1680"/>
          </w:tcPr>
          <w:p>
            <w:r>
              <w:rPr>
                <w:sz w:val="18"/>
              </w:rPr>
              <w:t>90-day pilot vs. matched baseline</w:t>
            </w:r>
          </w:p>
        </w:tc>
      </w:tr>
      <w:tr>
        <w:tc>
          <w:tcPr>
            <w:tcW w:type="dxa" w:w="1680"/>
            <w:shd w:val="clear" w:color="auto" w:fill="F4F7FA"/>
          </w:tcPr>
          <w:p>
            <w:r>
              <w:rPr>
                <w:sz w:val="18"/>
              </w:rPr>
              <w:t>KPI-02</w:t>
            </w:r>
          </w:p>
        </w:tc>
        <w:tc>
          <w:tcPr>
            <w:tcW w:type="dxa" w:w="1680"/>
            <w:shd w:val="clear" w:color="auto" w:fill="F4F7FA"/>
          </w:tcPr>
          <w:p>
            <w:r>
              <w:rPr>
                <w:sz w:val="18"/>
              </w:rPr>
              <w:t>Mean Booking Turnaround</w:t>
            </w:r>
          </w:p>
        </w:tc>
        <w:tc>
          <w:tcPr>
            <w:tcW w:type="dxa" w:w="1680"/>
            <w:shd w:val="clear" w:color="auto" w:fill="F4F7FA"/>
          </w:tcPr>
          <w:p>
            <w:r>
              <w:rPr>
                <w:sz w:val="18"/>
              </w:rPr>
              <w:t>11.36 min</w:t>
            </w:r>
          </w:p>
        </w:tc>
        <w:tc>
          <w:tcPr>
            <w:tcW w:type="dxa" w:w="1680"/>
            <w:shd w:val="clear" w:color="auto" w:fill="F4F7FA"/>
          </w:tcPr>
          <w:p>
            <w:r>
              <w:rPr>
                <w:sz w:val="18"/>
              </w:rPr>
              <w:t>&lt; 2.0 min</w:t>
            </w:r>
          </w:p>
        </w:tc>
        <w:tc>
          <w:tcPr>
            <w:tcW w:type="dxa" w:w="1680"/>
            <w:shd w:val="clear" w:color="auto" w:fill="F4F7FA"/>
          </w:tcPr>
          <w:p>
            <w:r>
              <w:rPr>
                <w:sz w:val="18"/>
              </w:rPr>
              <w:t>1.79 min</w:t>
            </w:r>
          </w:p>
        </w:tc>
        <w:tc>
          <w:tcPr>
            <w:tcW w:type="dxa" w:w="1680"/>
            <w:shd w:val="clear" w:color="auto" w:fill="F4F7FA"/>
          </w:tcPr>
          <w:p>
            <w:r>
              <w:rPr>
                <w:sz w:val="18"/>
              </w:rPr>
              <w:t>System timestamp log audit</w:t>
            </w:r>
          </w:p>
        </w:tc>
      </w:tr>
      <w:tr>
        <w:tc>
          <w:tcPr>
            <w:tcW w:type="dxa" w:w="1680"/>
          </w:tcPr>
          <w:p>
            <w:r>
              <w:rPr>
                <w:sz w:val="18"/>
              </w:rPr>
              <w:t>KPI-03</w:t>
            </w:r>
          </w:p>
        </w:tc>
        <w:tc>
          <w:tcPr>
            <w:tcW w:type="dxa" w:w="1680"/>
          </w:tcPr>
          <w:p>
            <w:r>
              <w:rPr>
                <w:sz w:val="18"/>
              </w:rPr>
              <w:t>Double-Booking Conflicts</w:t>
            </w:r>
          </w:p>
        </w:tc>
        <w:tc>
          <w:tcPr>
            <w:tcW w:type="dxa" w:w="1680"/>
          </w:tcPr>
          <w:p>
            <w:r>
              <w:rPr>
                <w:sz w:val="18"/>
              </w:rPr>
              <w:t>14.76% (369/2,500)</w:t>
            </w:r>
          </w:p>
        </w:tc>
        <w:tc>
          <w:tcPr>
            <w:tcW w:type="dxa" w:w="1680"/>
          </w:tcPr>
          <w:p>
            <w:r>
              <w:rPr>
                <w:sz w:val="18"/>
              </w:rPr>
              <w:t>0.0%</w:t>
            </w:r>
          </w:p>
        </w:tc>
        <w:tc>
          <w:tcPr>
            <w:tcW w:type="dxa" w:w="1680"/>
          </w:tcPr>
          <w:p>
            <w:r>
              <w:rPr>
                <w:sz w:val="18"/>
              </w:rPr>
              <w:t>0.00% (0/2,500)</w:t>
            </w:r>
          </w:p>
        </w:tc>
        <w:tc>
          <w:tcPr>
            <w:tcW w:type="dxa" w:w="1680"/>
          </w:tcPr>
          <w:p>
            <w:r>
              <w:rPr>
                <w:sz w:val="18"/>
              </w:rPr>
              <w:t>Redis 300s lock concurrency test</w:t>
            </w:r>
          </w:p>
        </w:tc>
      </w:tr>
      <w:tr>
        <w:tc>
          <w:tcPr>
            <w:tcW w:type="dxa" w:w="1680"/>
            <w:shd w:val="clear" w:color="auto" w:fill="F4F7FA"/>
          </w:tcPr>
          <w:p>
            <w:r>
              <w:rPr>
                <w:sz w:val="18"/>
              </w:rPr>
              <w:t>KPI-04</w:t>
            </w:r>
          </w:p>
        </w:tc>
        <w:tc>
          <w:tcPr>
            <w:tcW w:type="dxa" w:w="1680"/>
            <w:shd w:val="clear" w:color="auto" w:fill="F4F7FA"/>
          </w:tcPr>
          <w:p>
            <w:r>
              <w:rPr>
                <w:sz w:val="18"/>
              </w:rPr>
              <w:t>Digital Self-Service Share</w:t>
            </w:r>
          </w:p>
        </w:tc>
        <w:tc>
          <w:tcPr>
            <w:tcW w:type="dxa" w:w="1680"/>
            <w:shd w:val="clear" w:color="auto" w:fill="F4F7FA"/>
          </w:tcPr>
          <w:p>
            <w:r>
              <w:rPr>
                <w:sz w:val="18"/>
              </w:rPr>
              <w:t>0.00% (0/2,500)</w:t>
            </w:r>
          </w:p>
        </w:tc>
        <w:tc>
          <w:tcPr>
            <w:tcW w:type="dxa" w:w="1680"/>
            <w:shd w:val="clear" w:color="auto" w:fill="F4F7FA"/>
          </w:tcPr>
          <w:p>
            <w:r>
              <w:rPr>
                <w:sz w:val="18"/>
              </w:rPr>
              <w:t>&gt;= 70.0%</w:t>
            </w:r>
          </w:p>
        </w:tc>
        <w:tc>
          <w:tcPr>
            <w:tcW w:type="dxa" w:w="1680"/>
            <w:shd w:val="clear" w:color="auto" w:fill="F4F7FA"/>
          </w:tcPr>
          <w:p>
            <w:r>
              <w:rPr>
                <w:sz w:val="18"/>
              </w:rPr>
              <w:t>74.04% (1,851/2,500)</w:t>
            </w:r>
          </w:p>
        </w:tc>
        <w:tc>
          <w:tcPr>
            <w:tcW w:type="dxa" w:w="1680"/>
            <w:shd w:val="clear" w:color="auto" w:fill="F4F7FA"/>
          </w:tcPr>
          <w:p>
            <w:r>
              <w:rPr>
                <w:sz w:val="18"/>
              </w:rPr>
              <w:t>App + Web + WhatsApp Bot share</w:t>
            </w:r>
          </w:p>
        </w:tc>
      </w:tr>
      <w:tr>
        <w:tc>
          <w:tcPr>
            <w:tcW w:type="dxa" w:w="1680"/>
          </w:tcPr>
          <w:p>
            <w:r>
              <w:rPr>
                <w:sz w:val="18"/>
              </w:rPr>
              <w:t>KPI-05</w:t>
            </w:r>
          </w:p>
        </w:tc>
        <w:tc>
          <w:tcPr>
            <w:tcW w:type="dxa" w:w="1680"/>
          </w:tcPr>
          <w:p>
            <w:r>
              <w:rPr>
                <w:sz w:val="18"/>
              </w:rPr>
              <w:t>Cancelled Slot Re-Fill Rate</w:t>
            </w:r>
          </w:p>
        </w:tc>
        <w:tc>
          <w:tcPr>
            <w:tcW w:type="dxa" w:w="1680"/>
          </w:tcPr>
          <w:p>
            <w:r>
              <w:rPr>
                <w:sz w:val="18"/>
              </w:rPr>
              <w:t>4.83% (18/373)</w:t>
            </w:r>
          </w:p>
        </w:tc>
        <w:tc>
          <w:tcPr>
            <w:tcW w:type="dxa" w:w="1680"/>
          </w:tcPr>
          <w:p>
            <w:r>
              <w:rPr>
                <w:sz w:val="18"/>
              </w:rPr>
              <w:t>&gt;= 75.0%</w:t>
            </w:r>
          </w:p>
        </w:tc>
        <w:tc>
          <w:tcPr>
            <w:tcW w:type="dxa" w:w="1680"/>
          </w:tcPr>
          <w:p>
            <w:r>
              <w:rPr>
                <w:sz w:val="18"/>
              </w:rPr>
              <w:t>78.17% (154/197)</w:t>
            </w:r>
          </w:p>
        </w:tc>
        <w:tc>
          <w:tcPr>
            <w:tcW w:type="dxa" w:w="1680"/>
          </w:tcPr>
          <w:p>
            <w:r>
              <w:rPr>
                <w:sz w:val="18"/>
              </w:rPr>
              <w:t>Waitlist refills / total cancelled</w:t>
            </w:r>
          </w:p>
        </w:tc>
      </w:tr>
      <w:tr>
        <w:tc>
          <w:tcPr>
            <w:tcW w:type="dxa" w:w="1680"/>
            <w:shd w:val="clear" w:color="auto" w:fill="F4F7FA"/>
          </w:tcPr>
          <w:p>
            <w:r>
              <w:rPr>
                <w:sz w:val="18"/>
              </w:rPr>
              <w:t>KPI-06</w:t>
            </w:r>
          </w:p>
        </w:tc>
        <w:tc>
          <w:tcPr>
            <w:tcW w:type="dxa" w:w="1680"/>
            <w:shd w:val="clear" w:color="auto" w:fill="F4F7FA"/>
          </w:tcPr>
          <w:p>
            <w:r>
              <w:rPr>
                <w:sz w:val="18"/>
              </w:rPr>
              <w:t>Waiting Time (Completed)</w:t>
            </w:r>
          </w:p>
        </w:tc>
        <w:tc>
          <w:tcPr>
            <w:tcW w:type="dxa" w:w="1680"/>
            <w:shd w:val="clear" w:color="auto" w:fill="F4F7FA"/>
          </w:tcPr>
          <w:p>
            <w:r>
              <w:rPr>
                <w:sz w:val="18"/>
              </w:rPr>
              <w:t>48.52 min</w:t>
            </w:r>
          </w:p>
        </w:tc>
        <w:tc>
          <w:tcPr>
            <w:tcW w:type="dxa" w:w="1680"/>
            <w:shd w:val="clear" w:color="auto" w:fill="F4F7FA"/>
          </w:tcPr>
          <w:p>
            <w:r>
              <w:rPr>
                <w:sz w:val="18"/>
              </w:rPr>
              <w:t>&lt; 15.0 min</w:t>
            </w:r>
          </w:p>
        </w:tc>
        <w:tc>
          <w:tcPr>
            <w:tcW w:type="dxa" w:w="1680"/>
            <w:shd w:val="clear" w:color="auto" w:fill="F4F7FA"/>
          </w:tcPr>
          <w:p>
            <w:r>
              <w:rPr>
                <w:sz w:val="18"/>
              </w:rPr>
              <w:t>14.25 min</w:t>
            </w:r>
          </w:p>
        </w:tc>
        <w:tc>
          <w:tcPr>
            <w:tcW w:type="dxa" w:w="1680"/>
            <w:shd w:val="clear" w:color="auto" w:fill="F4F7FA"/>
          </w:tcPr>
          <w:p>
            <w:r>
              <w:rPr>
                <w:sz w:val="18"/>
              </w:rPr>
              <w:t>QR check-in to consult start</w:t>
            </w:r>
          </w:p>
        </w:tc>
      </w:tr>
      <w:tr>
        <w:tc>
          <w:tcPr>
            <w:tcW w:type="dxa" w:w="1680"/>
          </w:tcPr>
          <w:p>
            <w:r>
              <w:rPr>
                <w:sz w:val="18"/>
              </w:rPr>
              <w:t>KPI-07</w:t>
            </w:r>
          </w:p>
        </w:tc>
        <w:tc>
          <w:tcPr>
            <w:tcW w:type="dxa" w:w="1680"/>
          </w:tcPr>
          <w:p>
            <w:r>
              <w:rPr>
                <w:sz w:val="18"/>
              </w:rPr>
              <w:t>ABHA ID Linkage Rate</w:t>
            </w:r>
          </w:p>
        </w:tc>
        <w:tc>
          <w:tcPr>
            <w:tcW w:type="dxa" w:w="1680"/>
          </w:tcPr>
          <w:p>
            <w:r>
              <w:rPr>
                <w:sz w:val="18"/>
              </w:rPr>
              <w:t>18.08% (452/2,500)</w:t>
            </w:r>
          </w:p>
        </w:tc>
        <w:tc>
          <w:tcPr>
            <w:tcW w:type="dxa" w:w="1680"/>
          </w:tcPr>
          <w:p>
            <w:r>
              <w:rPr>
                <w:sz w:val="18"/>
              </w:rPr>
              <w:t>&gt;= 80.0%</w:t>
            </w:r>
          </w:p>
        </w:tc>
        <w:tc>
          <w:tcPr>
            <w:tcW w:type="dxa" w:w="1680"/>
          </w:tcPr>
          <w:p>
            <w:r>
              <w:rPr>
                <w:sz w:val="18"/>
              </w:rPr>
              <w:t>84.08% (2,102/2,500)</w:t>
            </w:r>
          </w:p>
        </w:tc>
        <w:tc>
          <w:tcPr>
            <w:tcW w:type="dxa" w:w="1680"/>
          </w:tcPr>
          <w:p>
            <w:r>
              <w:rPr>
                <w:sz w:val="18"/>
              </w:rPr>
              <w:t>Verified ABDM profile linkage</w:t>
            </w:r>
          </w:p>
        </w:tc>
      </w:tr>
    </w:tbl>
    <w:p>
      <w:pPr>
        <w:pStyle w:val="Heading1"/>
      </w:pPr>
      <w:r>
        <w:t>3. Functional Requirements Summary (FR-01 to FR-12)</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val="clear" w:color="auto" w:fill="1B365D"/>
          </w:tcPr>
          <w:p>
            <w:r>
              <w:rPr>
                <w:b/>
                <w:color w:val="FFFFFF"/>
                <w:sz w:val="19"/>
              </w:rPr>
              <w:t>Req ID</w:t>
            </w:r>
          </w:p>
        </w:tc>
        <w:tc>
          <w:tcPr>
            <w:tcW w:type="dxa" w:w="2016"/>
            <w:shd w:val="clear" w:color="auto" w:fill="1B365D"/>
          </w:tcPr>
          <w:p>
            <w:r>
              <w:rPr>
                <w:b/>
                <w:color w:val="FFFFFF"/>
                <w:sz w:val="19"/>
              </w:rPr>
              <w:t>Module</w:t>
            </w:r>
          </w:p>
        </w:tc>
        <w:tc>
          <w:tcPr>
            <w:tcW w:type="dxa" w:w="2016"/>
            <w:shd w:val="clear" w:color="auto" w:fill="1B365D"/>
          </w:tcPr>
          <w:p>
            <w:r>
              <w:rPr>
                <w:b/>
                <w:color w:val="FFFFFF"/>
                <w:sz w:val="19"/>
              </w:rPr>
              <w:t>Requirement Description</w:t>
            </w:r>
          </w:p>
        </w:tc>
        <w:tc>
          <w:tcPr>
            <w:tcW w:type="dxa" w:w="2016"/>
            <w:shd w:val="clear" w:color="auto" w:fill="1B365D"/>
          </w:tcPr>
          <w:p>
            <w:r>
              <w:rPr>
                <w:b/>
                <w:color w:val="FFFFFF"/>
                <w:sz w:val="19"/>
              </w:rPr>
              <w:t>Priority</w:t>
            </w:r>
          </w:p>
        </w:tc>
        <w:tc>
          <w:tcPr>
            <w:tcW w:type="dxa" w:w="2016"/>
            <w:shd w:val="clear" w:color="auto" w:fill="1B365D"/>
          </w:tcPr>
          <w:p>
            <w:r>
              <w:rPr>
                <w:b/>
                <w:color w:val="FFFFFF"/>
                <w:sz w:val="19"/>
              </w:rPr>
              <w:t>Story / UAT</w:t>
            </w:r>
          </w:p>
        </w:tc>
      </w:tr>
      <w:tr>
        <w:tc>
          <w:tcPr>
            <w:tcW w:type="dxa" w:w="2016"/>
          </w:tcPr>
          <w:p>
            <w:r>
              <w:rPr>
                <w:sz w:val="18"/>
              </w:rPr>
              <w:t>FR-01</w:t>
            </w:r>
          </w:p>
        </w:tc>
        <w:tc>
          <w:tcPr>
            <w:tcW w:type="dxa" w:w="2016"/>
          </w:tcPr>
          <w:p>
            <w:r>
              <w:rPr>
                <w:sz w:val="18"/>
              </w:rPr>
              <w:t>Patient Auth &amp; UHID</w:t>
            </w:r>
          </w:p>
        </w:tc>
        <w:tc>
          <w:tcPr>
            <w:tcW w:type="dxa" w:w="2016"/>
          </w:tcPr>
          <w:p>
            <w:r>
              <w:rPr>
                <w:sz w:val="18"/>
              </w:rPr>
              <w:t>Authenticate via Mobile OTP; auto-link Zydus UHID (ZYD-UHID-XXXXXX) and ABHA ID.</w:t>
            </w:r>
          </w:p>
        </w:tc>
        <w:tc>
          <w:tcPr>
            <w:tcW w:type="dxa" w:w="2016"/>
          </w:tcPr>
          <w:p>
            <w:r>
              <w:rPr>
                <w:sz w:val="18"/>
              </w:rPr>
              <w:t>Must Have</w:t>
            </w:r>
          </w:p>
        </w:tc>
        <w:tc>
          <w:tcPr>
            <w:tcW w:type="dxa" w:w="2016"/>
          </w:tcPr>
          <w:p>
            <w:r>
              <w:rPr>
                <w:sz w:val="18"/>
              </w:rPr>
              <w:t>US-01 / TC-01</w:t>
            </w:r>
          </w:p>
        </w:tc>
      </w:tr>
      <w:tr>
        <w:tc>
          <w:tcPr>
            <w:tcW w:type="dxa" w:w="2016"/>
            <w:shd w:val="clear" w:color="auto" w:fill="F4F7FA"/>
          </w:tcPr>
          <w:p>
            <w:r>
              <w:rPr>
                <w:sz w:val="18"/>
              </w:rPr>
              <w:t>FR-02</w:t>
            </w:r>
          </w:p>
        </w:tc>
        <w:tc>
          <w:tcPr>
            <w:tcW w:type="dxa" w:w="2016"/>
            <w:shd w:val="clear" w:color="auto" w:fill="F4F7FA"/>
          </w:tcPr>
          <w:p>
            <w:r>
              <w:rPr>
                <w:sz w:val="18"/>
              </w:rPr>
              <w:t>Multi-Filter Discovery</w:t>
            </w:r>
          </w:p>
        </w:tc>
        <w:tc>
          <w:tcPr>
            <w:tcW w:type="dxa" w:w="2016"/>
            <w:shd w:val="clear" w:color="auto" w:fill="F4F7FA"/>
          </w:tcPr>
          <w:p>
            <w:r>
              <w:rPr>
                <w:sz w:val="18"/>
              </w:rPr>
              <w:t>Filter by Zydus State Facility, Specialty, Doctor, Fee (₹), Language, and Live Slots.</w:t>
            </w:r>
          </w:p>
        </w:tc>
        <w:tc>
          <w:tcPr>
            <w:tcW w:type="dxa" w:w="2016"/>
            <w:shd w:val="clear" w:color="auto" w:fill="F4F7FA"/>
          </w:tcPr>
          <w:p>
            <w:r>
              <w:rPr>
                <w:sz w:val="18"/>
              </w:rPr>
              <w:t>Must Have</w:t>
            </w:r>
          </w:p>
        </w:tc>
        <w:tc>
          <w:tcPr>
            <w:tcW w:type="dxa" w:w="2016"/>
            <w:shd w:val="clear" w:color="auto" w:fill="F4F7FA"/>
          </w:tcPr>
          <w:p>
            <w:r>
              <w:rPr>
                <w:sz w:val="18"/>
              </w:rPr>
              <w:t>US-01, US-03 / TC-01, TC-04</w:t>
            </w:r>
          </w:p>
        </w:tc>
      </w:tr>
      <w:tr>
        <w:tc>
          <w:tcPr>
            <w:tcW w:type="dxa" w:w="2016"/>
          </w:tcPr>
          <w:p>
            <w:r>
              <w:rPr>
                <w:sz w:val="18"/>
              </w:rPr>
              <w:t>FR-03</w:t>
            </w:r>
          </w:p>
        </w:tc>
        <w:tc>
          <w:tcPr>
            <w:tcW w:type="dxa" w:w="2016"/>
          </w:tcPr>
          <w:p>
            <w:r>
              <w:rPr>
                <w:sz w:val="18"/>
              </w:rPr>
              <w:t>Concurrency Slot Lock</w:t>
            </w:r>
          </w:p>
        </w:tc>
        <w:tc>
          <w:tcPr>
            <w:tcW w:type="dxa" w:w="2016"/>
          </w:tcPr>
          <w:p>
            <w:r>
              <w:rPr>
                <w:sz w:val="18"/>
              </w:rPr>
              <w:t>Place a 5-minute (300s) Redis lock on selected slots during checkout.</w:t>
            </w:r>
          </w:p>
        </w:tc>
        <w:tc>
          <w:tcPr>
            <w:tcW w:type="dxa" w:w="2016"/>
          </w:tcPr>
          <w:p>
            <w:r>
              <w:rPr>
                <w:sz w:val="18"/>
              </w:rPr>
              <w:t>Must Have</w:t>
            </w:r>
          </w:p>
        </w:tc>
        <w:tc>
          <w:tcPr>
            <w:tcW w:type="dxa" w:w="2016"/>
          </w:tcPr>
          <w:p>
            <w:r>
              <w:rPr>
                <w:sz w:val="18"/>
              </w:rPr>
              <w:t>US-02 / TC-02, TC-03</w:t>
            </w:r>
          </w:p>
        </w:tc>
      </w:tr>
      <w:tr>
        <w:tc>
          <w:tcPr>
            <w:tcW w:type="dxa" w:w="2016"/>
            <w:shd w:val="clear" w:color="auto" w:fill="F4F7FA"/>
          </w:tcPr>
          <w:p>
            <w:r>
              <w:rPr>
                <w:sz w:val="18"/>
              </w:rPr>
              <w:t>FR-04</w:t>
            </w:r>
          </w:p>
        </w:tc>
        <w:tc>
          <w:tcPr>
            <w:tcW w:type="dxa" w:w="2016"/>
            <w:shd w:val="clear" w:color="auto" w:fill="F4F7FA"/>
          </w:tcPr>
          <w:p>
            <w:r>
              <w:rPr>
                <w:sz w:val="18"/>
              </w:rPr>
              <w:t>Self-Service Reschedule</w:t>
            </w:r>
          </w:p>
        </w:tc>
        <w:tc>
          <w:tcPr>
            <w:tcW w:type="dxa" w:w="2016"/>
            <w:shd w:val="clear" w:color="auto" w:fill="F4F7FA"/>
          </w:tcPr>
          <w:p>
            <w:r>
              <w:rPr>
                <w:sz w:val="18"/>
              </w:rPr>
              <w:t>Allow 1-click rescheduling up to 2 hours prior via Web, App, or WhatsApp at ₹0 fee.</w:t>
            </w:r>
          </w:p>
        </w:tc>
        <w:tc>
          <w:tcPr>
            <w:tcW w:type="dxa" w:w="2016"/>
            <w:shd w:val="clear" w:color="auto" w:fill="F4F7FA"/>
          </w:tcPr>
          <w:p>
            <w:r>
              <w:rPr>
                <w:sz w:val="18"/>
              </w:rPr>
              <w:t>Must Have</w:t>
            </w:r>
          </w:p>
        </w:tc>
        <w:tc>
          <w:tcPr>
            <w:tcW w:type="dxa" w:w="2016"/>
            <w:shd w:val="clear" w:color="auto" w:fill="F4F7FA"/>
          </w:tcPr>
          <w:p>
            <w:r>
              <w:rPr>
                <w:sz w:val="18"/>
              </w:rPr>
              <w:t>US-03, US-04 / TC-05, TC-06</w:t>
            </w:r>
          </w:p>
        </w:tc>
      </w:tr>
      <w:tr>
        <w:tc>
          <w:tcPr>
            <w:tcW w:type="dxa" w:w="2016"/>
          </w:tcPr>
          <w:p>
            <w:r>
              <w:rPr>
                <w:sz w:val="18"/>
              </w:rPr>
              <w:t>FR-05</w:t>
            </w:r>
          </w:p>
        </w:tc>
        <w:tc>
          <w:tcPr>
            <w:tcW w:type="dxa" w:w="2016"/>
          </w:tcPr>
          <w:p>
            <w:r>
              <w:rPr>
                <w:sz w:val="18"/>
              </w:rPr>
              <w:t>Cancellation &amp; Refund</w:t>
            </w:r>
          </w:p>
        </w:tc>
        <w:tc>
          <w:tcPr>
            <w:tcW w:type="dxa" w:w="2016"/>
          </w:tcPr>
          <w:p>
            <w:r>
              <w:rPr>
                <w:sz w:val="18"/>
              </w:rPr>
              <w:t>Instant 100% UPI refund for cancellations &gt;= 4h prior; 20% fee for &lt; 4h.</w:t>
            </w:r>
          </w:p>
        </w:tc>
        <w:tc>
          <w:tcPr>
            <w:tcW w:type="dxa" w:w="2016"/>
          </w:tcPr>
          <w:p>
            <w:r>
              <w:rPr>
                <w:sz w:val="18"/>
              </w:rPr>
              <w:t>Must Have</w:t>
            </w:r>
          </w:p>
        </w:tc>
        <w:tc>
          <w:tcPr>
            <w:tcW w:type="dxa" w:w="2016"/>
          </w:tcPr>
          <w:p>
            <w:r>
              <w:rPr>
                <w:sz w:val="18"/>
              </w:rPr>
              <w:t>US-05 / TC-07, TC-08</w:t>
            </w:r>
          </w:p>
        </w:tc>
      </w:tr>
      <w:tr>
        <w:tc>
          <w:tcPr>
            <w:tcW w:type="dxa" w:w="2016"/>
            <w:shd w:val="clear" w:color="auto" w:fill="F4F7FA"/>
          </w:tcPr>
          <w:p>
            <w:r>
              <w:rPr>
                <w:sz w:val="18"/>
              </w:rPr>
              <w:t>FR-06</w:t>
            </w:r>
          </w:p>
        </w:tc>
        <w:tc>
          <w:tcPr>
            <w:tcW w:type="dxa" w:w="2016"/>
            <w:shd w:val="clear" w:color="auto" w:fill="F4F7FA"/>
          </w:tcPr>
          <w:p>
            <w:r>
              <w:rPr>
                <w:sz w:val="18"/>
              </w:rPr>
              <w:t>Smart Reminders</w:t>
            </w:r>
          </w:p>
        </w:tc>
        <w:tc>
          <w:tcPr>
            <w:tcW w:type="dxa" w:w="2016"/>
            <w:shd w:val="clear" w:color="auto" w:fill="F4F7FA"/>
          </w:tcPr>
          <w:p>
            <w:r>
              <w:rPr>
                <w:sz w:val="18"/>
              </w:rPr>
              <w:t>Automated WhatsApp &amp; SMS alerts at booking, T-24h, and T-2h with quick-reply buttons.</w:t>
            </w:r>
          </w:p>
        </w:tc>
        <w:tc>
          <w:tcPr>
            <w:tcW w:type="dxa" w:w="2016"/>
            <w:shd w:val="clear" w:color="auto" w:fill="F4F7FA"/>
          </w:tcPr>
          <w:p>
            <w:r>
              <w:rPr>
                <w:sz w:val="18"/>
              </w:rPr>
              <w:t>Must Have</w:t>
            </w:r>
          </w:p>
        </w:tc>
        <w:tc>
          <w:tcPr>
            <w:tcW w:type="dxa" w:w="2016"/>
            <w:shd w:val="clear" w:color="auto" w:fill="F4F7FA"/>
          </w:tcPr>
          <w:p>
            <w:r>
              <w:rPr>
                <w:sz w:val="18"/>
              </w:rPr>
              <w:t>US-06 / TC-09</w:t>
            </w:r>
          </w:p>
        </w:tc>
      </w:tr>
      <w:tr>
        <w:tc>
          <w:tcPr>
            <w:tcW w:type="dxa" w:w="2016"/>
          </w:tcPr>
          <w:p>
            <w:r>
              <w:rPr>
                <w:sz w:val="18"/>
              </w:rPr>
              <w:t>FR-07</w:t>
            </w:r>
          </w:p>
        </w:tc>
        <w:tc>
          <w:tcPr>
            <w:tcW w:type="dxa" w:w="2016"/>
          </w:tcPr>
          <w:p>
            <w:r>
              <w:rPr>
                <w:sz w:val="18"/>
              </w:rPr>
              <w:t>Dynamic Waitlist</w:t>
            </w:r>
          </w:p>
        </w:tc>
        <w:tc>
          <w:tcPr>
            <w:tcW w:type="dxa" w:w="2016"/>
          </w:tcPr>
          <w:p>
            <w:r>
              <w:rPr>
                <w:sz w:val="18"/>
              </w:rPr>
              <w:t>Auto-notify top 3 waitlisted patients on cancellation; 15-min claim window.</w:t>
            </w:r>
          </w:p>
        </w:tc>
        <w:tc>
          <w:tcPr>
            <w:tcW w:type="dxa" w:w="2016"/>
          </w:tcPr>
          <w:p>
            <w:r>
              <w:rPr>
                <w:sz w:val="18"/>
              </w:rPr>
              <w:t>Should Have</w:t>
            </w:r>
          </w:p>
        </w:tc>
        <w:tc>
          <w:tcPr>
            <w:tcW w:type="dxa" w:w="2016"/>
          </w:tcPr>
          <w:p>
            <w:r>
              <w:rPr>
                <w:sz w:val="18"/>
              </w:rPr>
              <w:t>US-07 / TC-10</w:t>
            </w:r>
          </w:p>
        </w:tc>
      </w:tr>
      <w:tr>
        <w:tc>
          <w:tcPr>
            <w:tcW w:type="dxa" w:w="2016"/>
            <w:shd w:val="clear" w:color="auto" w:fill="F4F7FA"/>
          </w:tcPr>
          <w:p>
            <w:r>
              <w:rPr>
                <w:sz w:val="18"/>
              </w:rPr>
              <w:t>FR-08</w:t>
            </w:r>
          </w:p>
        </w:tc>
        <w:tc>
          <w:tcPr>
            <w:tcW w:type="dxa" w:w="2016"/>
            <w:shd w:val="clear" w:color="auto" w:fill="F4F7FA"/>
          </w:tcPr>
          <w:p>
            <w:r>
              <w:rPr>
                <w:sz w:val="18"/>
              </w:rPr>
              <w:t>Doctor Leave &amp; Roster</w:t>
            </w:r>
          </w:p>
        </w:tc>
        <w:tc>
          <w:tcPr>
            <w:tcW w:type="dxa" w:w="2016"/>
            <w:shd w:val="clear" w:color="auto" w:fill="F4F7FA"/>
          </w:tcPr>
          <w:p>
            <w:r>
              <w:rPr>
                <w:sz w:val="18"/>
              </w:rPr>
              <w:t>Allow doctors to mark emergency OT/leave and trigger bulk priority reschedule links.</w:t>
            </w:r>
          </w:p>
        </w:tc>
        <w:tc>
          <w:tcPr>
            <w:tcW w:type="dxa" w:w="2016"/>
            <w:shd w:val="clear" w:color="auto" w:fill="F4F7FA"/>
          </w:tcPr>
          <w:p>
            <w:r>
              <w:rPr>
                <w:sz w:val="18"/>
              </w:rPr>
              <w:t>Must Have</w:t>
            </w:r>
          </w:p>
        </w:tc>
        <w:tc>
          <w:tcPr>
            <w:tcW w:type="dxa" w:w="2016"/>
            <w:shd w:val="clear" w:color="auto" w:fill="F4F7FA"/>
          </w:tcPr>
          <w:p>
            <w:r>
              <w:rPr>
                <w:sz w:val="18"/>
              </w:rPr>
              <w:t>US-08 / TC-11</w:t>
            </w:r>
          </w:p>
        </w:tc>
      </w:tr>
      <w:tr>
        <w:tc>
          <w:tcPr>
            <w:tcW w:type="dxa" w:w="2016"/>
          </w:tcPr>
          <w:p>
            <w:r>
              <w:rPr>
                <w:sz w:val="18"/>
              </w:rPr>
              <w:t>FR-09</w:t>
            </w:r>
          </w:p>
        </w:tc>
        <w:tc>
          <w:tcPr>
            <w:tcW w:type="dxa" w:w="2016"/>
          </w:tcPr>
          <w:p>
            <w:r>
              <w:rPr>
                <w:sz w:val="18"/>
              </w:rPr>
              <w:t>Assisted Desk Console</w:t>
            </w:r>
          </w:p>
        </w:tc>
        <w:tc>
          <w:tcPr>
            <w:tcW w:type="dxa" w:w="2016"/>
          </w:tcPr>
          <w:p>
            <w:r>
              <w:rPr>
                <w:sz w:val="18"/>
              </w:rPr>
              <w:t>Unified reception console for walk-ins, Cash/UPI payment, and &lt;45s QR token printing.</w:t>
            </w:r>
          </w:p>
        </w:tc>
        <w:tc>
          <w:tcPr>
            <w:tcW w:type="dxa" w:w="2016"/>
          </w:tcPr>
          <w:p>
            <w:r>
              <w:rPr>
                <w:sz w:val="18"/>
              </w:rPr>
              <w:t>Must Have</w:t>
            </w:r>
          </w:p>
        </w:tc>
        <w:tc>
          <w:tcPr>
            <w:tcW w:type="dxa" w:w="2016"/>
          </w:tcPr>
          <w:p>
            <w:r>
              <w:rPr>
                <w:sz w:val="18"/>
              </w:rPr>
              <w:t>US-09 / TC-12</w:t>
            </w:r>
          </w:p>
        </w:tc>
      </w:tr>
      <w:tr>
        <w:tc>
          <w:tcPr>
            <w:tcW w:type="dxa" w:w="2016"/>
            <w:shd w:val="clear" w:color="auto" w:fill="F4F7FA"/>
          </w:tcPr>
          <w:p>
            <w:r>
              <w:rPr>
                <w:sz w:val="18"/>
              </w:rPr>
              <w:t>FR-10</w:t>
            </w:r>
          </w:p>
        </w:tc>
        <w:tc>
          <w:tcPr>
            <w:tcW w:type="dxa" w:w="2016"/>
            <w:shd w:val="clear" w:color="auto" w:fill="F4F7FA"/>
          </w:tcPr>
          <w:p>
            <w:r>
              <w:rPr>
                <w:sz w:val="18"/>
              </w:rPr>
              <w:t>QR Express Check-In</w:t>
            </w:r>
          </w:p>
        </w:tc>
        <w:tc>
          <w:tcPr>
            <w:tcW w:type="dxa" w:w="2016"/>
            <w:shd w:val="clear" w:color="auto" w:fill="F4F7FA"/>
          </w:tcPr>
          <w:p>
            <w:r>
              <w:rPr>
                <w:sz w:val="18"/>
              </w:rPr>
              <w:t>Self-service lobby QR scan within 45 mins of slot to generate live OPD queue token.</w:t>
            </w:r>
          </w:p>
        </w:tc>
        <w:tc>
          <w:tcPr>
            <w:tcW w:type="dxa" w:w="2016"/>
            <w:shd w:val="clear" w:color="auto" w:fill="F4F7FA"/>
          </w:tcPr>
          <w:p>
            <w:r>
              <w:rPr>
                <w:sz w:val="18"/>
              </w:rPr>
              <w:t>Should Have</w:t>
            </w:r>
          </w:p>
        </w:tc>
        <w:tc>
          <w:tcPr>
            <w:tcW w:type="dxa" w:w="2016"/>
            <w:shd w:val="clear" w:color="auto" w:fill="F4F7FA"/>
          </w:tcPr>
          <w:p>
            <w:r>
              <w:rPr>
                <w:sz w:val="18"/>
              </w:rPr>
              <w:t>US-10 / TC-12</w:t>
            </w:r>
          </w:p>
        </w:tc>
      </w:tr>
      <w:tr>
        <w:tc>
          <w:tcPr>
            <w:tcW w:type="dxa" w:w="2016"/>
          </w:tcPr>
          <w:p>
            <w:r>
              <w:rPr>
                <w:sz w:val="18"/>
              </w:rPr>
              <w:t>FR-11</w:t>
            </w:r>
          </w:p>
        </w:tc>
        <w:tc>
          <w:tcPr>
            <w:tcW w:type="dxa" w:w="2016"/>
          </w:tcPr>
          <w:p>
            <w:r>
              <w:rPr>
                <w:sz w:val="18"/>
              </w:rPr>
              <w:t>Tele-Consultation</w:t>
            </w:r>
          </w:p>
        </w:tc>
        <w:tc>
          <w:tcPr>
            <w:tcW w:type="dxa" w:w="2016"/>
          </w:tcPr>
          <w:p>
            <w:r>
              <w:rPr>
                <w:sz w:val="18"/>
              </w:rPr>
              <w:t>Option to toggle Video Tele-Consultation with encrypted WebRTC link &amp; e-prescription.</w:t>
            </w:r>
          </w:p>
        </w:tc>
        <w:tc>
          <w:tcPr>
            <w:tcW w:type="dxa" w:w="2016"/>
          </w:tcPr>
          <w:p>
            <w:r>
              <w:rPr>
                <w:sz w:val="18"/>
              </w:rPr>
              <w:t>Could Have</w:t>
            </w:r>
          </w:p>
        </w:tc>
        <w:tc>
          <w:tcPr>
            <w:tcW w:type="dxa" w:w="2016"/>
          </w:tcPr>
          <w:p>
            <w:r>
              <w:rPr>
                <w:sz w:val="18"/>
              </w:rPr>
              <w:t>US-11 / TC-13</w:t>
            </w:r>
          </w:p>
        </w:tc>
      </w:tr>
      <w:tr>
        <w:tc>
          <w:tcPr>
            <w:tcW w:type="dxa" w:w="2016"/>
            <w:shd w:val="clear" w:color="auto" w:fill="F4F7FA"/>
          </w:tcPr>
          <w:p>
            <w:r>
              <w:rPr>
                <w:sz w:val="18"/>
              </w:rPr>
              <w:t>FR-12</w:t>
            </w:r>
          </w:p>
        </w:tc>
        <w:tc>
          <w:tcPr>
            <w:tcW w:type="dxa" w:w="2016"/>
            <w:shd w:val="clear" w:color="auto" w:fill="F4F7FA"/>
          </w:tcPr>
          <w:p>
            <w:r>
              <w:rPr>
                <w:sz w:val="18"/>
              </w:rPr>
              <w:t>Executive BI Analytics</w:t>
            </w:r>
          </w:p>
        </w:tc>
        <w:tc>
          <w:tcPr>
            <w:tcW w:type="dxa" w:w="2016"/>
            <w:shd w:val="clear" w:color="auto" w:fill="F4F7FA"/>
          </w:tcPr>
          <w:p>
            <w:r>
              <w:rPr>
                <w:sz w:val="18"/>
              </w:rPr>
              <w:t>Real-time dashboard tracking all 7 Zydus units, Revenue (₹), No-Show %, and Channel Mix.</w:t>
            </w:r>
          </w:p>
        </w:tc>
        <w:tc>
          <w:tcPr>
            <w:tcW w:type="dxa" w:w="2016"/>
            <w:shd w:val="clear" w:color="auto" w:fill="F4F7FA"/>
          </w:tcPr>
          <w:p>
            <w:r>
              <w:rPr>
                <w:sz w:val="18"/>
              </w:rPr>
              <w:t>Must Have</w:t>
            </w:r>
          </w:p>
        </w:tc>
        <w:tc>
          <w:tcPr>
            <w:tcW w:type="dxa" w:w="2016"/>
            <w:shd w:val="clear" w:color="auto" w:fill="F4F7FA"/>
          </w:tcPr>
          <w:p>
            <w:r>
              <w:rPr>
                <w:sz w:val="18"/>
              </w:rPr>
              <w:t>US-12 / TC-14</w:t>
            </w:r>
          </w:p>
        </w:tc>
      </w:tr>
    </w:tbl>
    <w:p>
      <w:pPr>
        <w:pStyle w:val="Heading1"/>
      </w:pPr>
      <w:r>
        <w:t>4. Non-Functional Requirements (NFR)</w:t>
      </w:r>
    </w:p>
    <w:p>
      <w:pPr>
        <w:pStyle w:val="ListBullet"/>
      </w:pPr>
      <w:r>
        <w:t>NFR-01 (Performance): API response &lt; 1.2s (P95) under 5,000 concurrent users during peak morning OPD traffic (08:30 AM – 11:30 AM IST).</w:t>
      </w:r>
    </w:p>
    <w:p>
      <w:pPr>
        <w:pStyle w:val="ListBullet"/>
      </w:pPr>
      <w:r>
        <w:t>NFR-02 (Availability): 99.95% uptime SLA with multi-AZ cloud failover and 15-minute RPO backups.</w:t>
      </w:r>
    </w:p>
    <w:p>
      <w:pPr>
        <w:pStyle w:val="ListBullet"/>
      </w:pPr>
      <w:r>
        <w:t>NFR-03 (Compliance &amp; Security): Alignment with India's Digital Personal Data Protection (DPDP) Act 2023 and Ayushman Bharat Digital Mission (ABDM) health data standards; AES-256 encryption at rest and TLS 1.3 in transit.</w:t>
      </w:r>
    </w:p>
    <w:p>
      <w:pPr>
        <w:pStyle w:val="ListBullet"/>
      </w:pPr>
      <w:r>
        <w:t>NFR-04 (Localization): Full multilingual UI and WhatsApp Bot support in English, Hindi (हिंदी), and Gujarati (ગુજરાતી).</w:t>
      </w:r>
    </w:p>
    <w:p>
      <w:pPr>
        <w:pStyle w:val="Heading1"/>
      </w:pPr>
      <w:r>
        <w:t>5. Portfolio Case-Study Disclaimer</w:t>
      </w:r>
    </w:p>
    <w:p>
      <w:r>
        <w:t>This repository presents a hypothetical Business Analysis portfolio case study modeled around Zydus Hospitals. It is not commissioned, endorsed, or supplied by Zydus Hospitals, and contains zero real patient or operational records. All metrics are calculated from the 5,000-row synthetic dataset constructed to demonstrate BABOK-aligned requirements engineering, process modeling, backlog refinement, UAT planning, and KPI analysis.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