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r>
        <w:t>Project: Amazon India (Amazon.in) Returns &amp; Refunds Process Redesign</w:t>
      </w:r>
    </w:p>
    <w:p>
      <w:r>
        <w:t>Organization: Amazon India / Amazon.in (External Portfolio Case Study — Unaffiliated)</w:t>
      </w:r>
    </w:p>
    <w:p>
      <w:r>
        <w:t>Author: Shruti Thacker</w:t>
      </w:r>
    </w:p>
    <w:p>
      <w:r>
        <w:t>Document status: Draft for portfolio demonstration</w:t>
      </w:r>
    </w:p>
    <w:p>
      <w:pPr>
        <w:pStyle w:val="Heading1"/>
      </w:pPr>
      <w:r>
        <w:t>1. Background and problem statement</w:t>
      </w:r>
    </w:p>
    <w:p>
      <w:r>
        <w:t>Returns can be confusing when eligibility rules are hard to find, refund calculations are opaque, customers cannot track progress, or exceptions are handled inconsistently. This case study proposes a more transparent and testable process.</w:t>
      </w:r>
    </w:p>
    <w:p>
      <w:r>
        <w:t>The company, volumes, policy thresholds, service levels, and scenario details are fictional assumptions. No real operational audit or customer research was performed. The accompanying dataset is synthetic and used only to demonstrate analysis.</w:t>
      </w:r>
    </w:p>
    <w:p>
      <w:pPr>
        <w:pStyle w:val="Heading1"/>
      </w:pPr>
      <w:r>
        <w:t>2. Business objectives</w:t>
      </w:r>
    </w:p>
    <w:p>
      <w:r>
        <w:t>• Make return eligibility and exceptions understandable.</w:t>
        <w:br/>
        <w:t>• Reduce avoidable manual handling through clear decision rules.</w:t>
        <w:br/>
        <w:t>• Offer exchanges where appropriate without obscuring the refund option.</w:t>
        <w:br/>
        <w:t>• Make partial-refund calculations transparent.</w:t>
        <w:br/>
        <w:t>• Improve visibility of pickup, quality checks, and refund status.</w:t>
        <w:br/>
        <w:t>• Define measurable service and customer-experience KPIs.</w:t>
      </w:r>
    </w:p>
    <w:p>
      <w:pPr>
        <w:pStyle w:val="Heading1"/>
      </w:pPr>
      <w:r>
        <w:t>3. Scope</w:t>
      </w:r>
    </w:p>
    <w:p>
      <w:r>
        <w:t>In scope: self-service return/exchange journey; eligibility rules by category and delivery date; damaged or incorrect-item exceptions; partial-return promotion calculations; risk-based review concept; pickup quality checks; refund status; requirements, user stories, traceability, UAT planning, and KPI definitions.</w:t>
      </w:r>
    </w:p>
    <w:p>
      <w:r>
        <w:t>Out of scope: building or deploying an application; integrating a real payment provider or courier system; production fraud scoring; real financial forecasting or quantified ROI; legal or compliance approval of policies.</w:t>
      </w:r>
    </w:p>
    <w:p>
      <w:pPr>
        <w:pStyle w:val="Heading1"/>
      </w:pPr>
      <w:r>
        <w:t>4. Stakeholders</w:t>
      </w:r>
    </w:p>
    <w:p>
      <w:r>
        <w:t>Product/CX, Finance, Risk, Operations, Customer Support, Engineering/Payments, QA, customers, and sellers are proposed stakeholder groups. Roles and responsibilities require validation in a real project. No stakeholder interviews or approvals are claimed.</w:t>
      </w:r>
    </w:p>
    <w:p>
      <w:pPr>
        <w:pStyle w:val="Heading1"/>
      </w:pPr>
      <w:r>
        <w:t>5. High-level requirements</w:t>
      </w:r>
    </w:p>
    <w:p>
      <w:r>
        <w:t>BRD-01: Customers can view return eligibility and deadlines before submitting.</w:t>
        <w:br/>
        <w:t>BRD-02: Ineligible requests receive a clear reason and next step.</w:t>
        <w:br/>
        <w:t>BRD-03: Damaged/wrong-item exceptions follow a documented evidence and review process.</w:t>
        <w:br/>
        <w:t>BRD-04: Partial-return refunds show a transparent calculation before confirmation.</w:t>
        <w:br/>
        <w:t>BRD-05: Risk-based review has documented triggers, service levels, and an appeal path.</w:t>
        <w:br/>
        <w:t>BRD-06: Pickup checks record outcomes and reason codes.</w:t>
        <w:br/>
        <w:t>BRD-07: Customers can track return and refund status.</w:t>
        <w:br/>
        <w:t>BRD-08: Failed payouts are visible, retryable where safe, and reconciled.</w:t>
        <w:br/>
        <w:t>BRD-09: UAT scenarios cover positive, negative, and boundary cases.</w:t>
        <w:br/>
        <w:t>BRD-10: KPIs have explicit formulas, denominators, owners, and reporting periods.</w:t>
      </w:r>
    </w:p>
    <w:p>
      <w:pPr>
        <w:pStyle w:val="Heading1"/>
      </w:pPr>
      <w:r>
        <w:t>6. Assumptions and dependencies</w:t>
      </w:r>
    </w:p>
    <w:p>
      <w:r>
        <w:t>Category windows, monetary thresholds, incentives, payout options, fraud triggers, and service-level targets are examples only. They require review by business owners, Legal/Compliance, Finance, Operations, Security, and Engineering. Payment and customer-data handling must follow applicable requirements.</w:t>
      </w:r>
    </w:p>
    <w:p>
      <w:pPr>
        <w:pStyle w:val="Heading1"/>
      </w:pPr>
      <w:r>
        <w:t>7. Success measures</w:t>
      </w:r>
    </w:p>
    <w:p>
      <w:r>
        <w:t>Define and baseline refund turnaround, return decision time, exchange acceptance, support contact rate, pickup exceptions, payout failure rate, dispute rate, and CSAT. Targets should be set only after validating data quality and operational constraints.</w:t>
      </w:r>
    </w:p>
    <w:p>
      <w:pPr>
        <w:pStyle w:val="Heading1"/>
      </w:pPr>
      <w:r>
        <w:t>8. Acceptance and approval</w:t>
      </w:r>
    </w:p>
    <w:p>
      <w:r>
        <w:t>This document is a portfolio draft. No stakeholder approval, implementation, or production sign-off is claimed.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