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INTELLIGENCE</w:t>
        <w:br/>
        <w:t>BUSINESS REQUIREMENTS DOCUMENT</w:t>
      </w:r>
    </w:p>
    <w:p>
      <w:pPr>
        <w:jc w:val="center"/>
      </w:pPr>
      <w:r>
        <w:rPr>
          <w:b/>
        </w:rPr>
        <w:t>Supply Chain SLA, OTIF &amp; Contribution Analytics</w:t>
      </w:r>
    </w:p>
    <w:p>
      <w:pPr>
        <w:jc w:val="center"/>
      </w:pPr>
      <w:r>
        <w:t>Portfolio case study | Version 1.0 | 27 October 2026</w:t>
      </w:r>
    </w:p>
    <w:tbl>
      <w:tblPr>
        <w:tblStyle w:val="LightShading-Accent1"/>
        <w:tblW w:type="auto" w:w="0"/>
        <w:tblLook w:firstColumn="1" w:firstRow="1" w:lastColumn="0" w:lastRow="0" w:noHBand="0" w:noVBand="1" w:val="04A0"/>
      </w:tblPr>
      <w:tblGrid>
        <w:gridCol w:w="4968"/>
        <w:gridCol w:w="4968"/>
      </w:tblGrid>
      <w:tr>
        <w:tc>
          <w:tcPr>
            <w:tcW w:type="dxa" w:w="4968"/>
          </w:tcPr>
          <w:p>
            <w:r>
              <w:t>Business context</w:t>
            </w:r>
          </w:p>
        </w:tc>
        <w:tc>
          <w:tcPr>
            <w:tcW w:type="dxa" w:w="4968"/>
          </w:tcPr>
          <w:p>
            <w:r>
              <w:t>Hypothetical Flipkart-style Indian e-commerce operation</w:t>
            </w:r>
          </w:p>
        </w:tc>
      </w:tr>
      <w:tr>
        <w:tc>
          <w:tcPr>
            <w:tcW w:type="dxa" w:w="4968"/>
          </w:tcPr>
          <w:p>
            <w:r>
              <w:t>Document owner</w:t>
            </w:r>
          </w:p>
        </w:tc>
        <w:tc>
          <w:tcPr>
            <w:tcW w:type="dxa" w:w="4968"/>
          </w:tcPr>
          <w:p>
            <w:r>
              <w:t>Shruti Thacker — portfolio case study</w:t>
            </w:r>
          </w:p>
        </w:tc>
      </w:tr>
      <w:tr>
        <w:tc>
          <w:tcPr>
            <w:tcW w:type="dxa" w:w="4968"/>
          </w:tcPr>
          <w:p>
            <w:r>
              <w:t>Status</w:t>
            </w:r>
          </w:p>
        </w:tc>
        <w:tc>
          <w:tcPr>
            <w:tcW w:type="dxa" w:w="4968"/>
          </w:tcPr>
          <w:p>
            <w:r>
              <w:t>Proposed specification; not production-approved</w:t>
            </w:r>
          </w:p>
        </w:tc>
      </w:tr>
      <w:tr>
        <w:tc>
          <w:tcPr>
            <w:tcW w:type="dxa" w:w="4968"/>
          </w:tcPr>
          <w:p>
            <w:r>
              <w:t>Data</w:t>
            </w:r>
          </w:p>
        </w:tc>
        <w:tc>
          <w:tcPr>
            <w:tcW w:type="dxa" w:w="4968"/>
          </w:tcPr>
          <w:p>
            <w:r>
              <w:t>Synthetic sample data; no company-confidential information</w:t>
            </w:r>
          </w:p>
        </w:tc>
      </w:tr>
    </w:tbl>
    <w:p>
      <w:r>
        <w:rPr>
          <w:b/>
        </w:rPr>
        <w:t xml:space="preserve">Important disclaimer: </w:t>
      </w:r>
      <w:r>
        <w:t>This is an independent portfolio exercise, not an official Flipkart project. It does not imply affiliation or endorsement.</w:t>
      </w:r>
    </w:p>
    <w:p>
      <w:pPr>
        <w:pStyle w:val="Heading1"/>
      </w:pPr>
      <w:r>
        <w:t>1. Background and problem statement</w:t>
      </w:r>
    </w:p>
    <w:p>
      <w:r>
        <w:t>The hypothetical business consolidates order, warehouse and carrier data to understand service performance and cost drivers. Spreadsheet-based reporting can create inconsistent KPI definitions, slow exception management and weak visibility across fulfilment hubs. The proposed Power BI report provides a consistent, filterable view for operations and finance stakeholders.</w:t>
      </w:r>
    </w:p>
    <w:p>
      <w:pPr>
        <w:pStyle w:val="Heading1"/>
      </w:pPr>
      <w:r>
        <w:t>2. Objectives and success measures</w:t>
      </w:r>
    </w:p>
    <w:p>
      <w:r>
        <w:t>Establish a reconciled baseline for shipment volume, booked GMV, realized revenue, contribution profit, OTIF and RTO. Compare warehouse dispatch performance against documented targets. Compare carrier outcomes by service level, shipment volume, RTO and logistics cost. Identify recurring delay/RTO reasons and define testable improvement hypotheses. Define access governance and a repeatable UAT process.</w:t>
      </w:r>
    </w:p>
    <w:p>
      <w:pPr>
        <w:pStyle w:val="Heading1"/>
      </w:pPr>
      <w:r>
        <w:t>3. Scope</w:t>
      </w:r>
    </w:p>
    <w:p>
      <w:r>
        <w:t>In scope: shipment-level fact and calendar, warehouse, carrier and product dimensions; data type enforcement and quality checks; four dashboard pages; business requirements, stakeholder matrix, DAX, Power Query, user stories and UAT. Out of scope: live integrations, production deployment, actual savings claims and a finished .pbix report.</w:t>
      </w:r>
    </w:p>
    <w:p>
      <w:pPr>
        <w:pStyle w:val="Heading1"/>
      </w:pPr>
      <w:r>
        <w:t>4. Stakeholders</w:t>
      </w:r>
    </w:p>
    <w:p>
      <w:r>
        <w:t>COO/Finance: revenue, margin and service overview. Supply Chain Lead: carrier/network performance. Regional Operations Manager: hub-level dispatch and SLA. Customer Experience Lead: RTO reasons. BI/Data Owner: metric definitions, data quality, model and access controls.</w:t>
      </w:r>
    </w:p>
    <w:p>
      <w:pPr>
        <w:pStyle w:val="Heading1"/>
      </w:pPr>
      <w:r>
        <w:t>5. KPI definitions</w:t>
      </w:r>
    </w:p>
    <w:p>
      <w:r>
        <w:t>Booked GMV: sum of Gross_Booked_GMV_INR. Realized revenue: Realized_Revenue_INR for delivered shipments, subject to finance policy. OTIF rate: Is_OTIF_Flag divided by all shipment records in this sample; confirm eligibility rules. RTO rate: RTO count divided by shipment count; segment rates use segment-specific denominators. Average dispatch hours: average Dispatch_Time_Hours. Logistics cost per shipment: total logistics cost divided by shipment count. Contribution profit: sum of the supplied field; confirm accounting logic before production use.</w:t>
      </w:r>
    </w:p>
    <w:p>
      <w:pPr>
        <w:pStyle w:val="Heading1"/>
      </w:pPr>
      <w:r>
        <w:t>6. Functional requirements</w:t>
      </w:r>
    </w:p>
    <w:p>
      <w:r>
        <w:t>FR-01: Core KPIs reconcile to source. FR-02: Filters/drill-down by date, warehouse, carrier, product and payment mode. FR-03: Compare hub dispatch hours to target. FR-04: Compare carrier OTIF, RTO, volume and cost. FR-05: Show RTO reasons with labelled denominators. FR-06: Scenario assumptions are visible. FR-07: Warehouse-level RLS passes authorized/unauthorized tests. FR-08: Refresh timestamp and data-quality status are visible.</w:t>
      </w:r>
    </w:p>
    <w:p>
      <w:pPr>
        <w:pStyle w:val="Heading1"/>
      </w:pPr>
      <w:r>
        <w:t>7. Non-functional requirements</w:t>
      </w:r>
    </w:p>
    <w:p>
      <w:r>
        <w:t>Usability: consistent titles, units and KPI definitions. Performance: agree target after testing. Reliability: surface refresh failures and data-quality exceptions. Security: least privilege and Power BI Service RLS validation. Maintainability: parameterized paths and version-controlled definitions. Accessibility: sufficient contrast, descriptive titles and no reliance on colour alone.</w:t>
      </w:r>
    </w:p>
    <w:p>
      <w:pPr>
        <w:pStyle w:val="Heading1"/>
      </w:pPr>
      <w:r>
        <w:t>8. Assumptions, risks and dependencies</w:t>
      </w:r>
    </w:p>
    <w:p>
      <w:r>
        <w:t>The sample contains 3,600 synthetic records from April–September 2026. Grain and aggregation rules must be confirmed before production reuse. Payment-mode comparisons are observational, not causal. RLS identities are placeholders. Refresh, permissions, data ownership and finance-approved KPI definitions remain dependencies.</w:t>
      </w:r>
    </w:p>
    <w:p>
      <w:pPr>
        <w:pStyle w:val="Heading1"/>
      </w:pPr>
      <w:r>
        <w:t>9. Approval and change control</w:t>
      </w:r>
    </w:p>
    <w:p>
      <w:r>
        <w:t>In a real engagement, record business/data owners, version, review date, approval status and change log. This portfolio BRD remains a proposed specification.</w:t>
      </w:r>
    </w:p>
    <w:p>
      <w:pPr>
        <w:pStyle w:val="Heading1"/>
      </w:pPr>
      <w:r>
        <w:t>Dashboard page architecture</w:t>
      </w:r>
    </w:p>
    <w:p>
      <w:pPr>
        <w:pStyle w:val="ListBullet"/>
      </w:pPr>
      <w:r>
        <w:rPr>
          <w:b/>
        </w:rPr>
        <w:t xml:space="preserve">Page 1 — Executive overview: </w:t>
      </w:r>
      <w:r>
        <w:t>GMV, realized revenue, contribution profit, OTIF, RTO and monthly trends.</w:t>
      </w:r>
    </w:p>
    <w:p>
      <w:pPr>
        <w:pStyle w:val="ListBullet"/>
      </w:pPr>
      <w:r>
        <w:rPr>
          <w:b/>
        </w:rPr>
        <w:t xml:space="preserve">Page 2 — Warehouse operations: </w:t>
      </w:r>
      <w:r>
        <w:t>Dispatch-time distribution, target comparison, hub trend and exceptions.</w:t>
      </w:r>
    </w:p>
    <w:p>
      <w:pPr>
        <w:pStyle w:val="ListBullet"/>
      </w:pPr>
      <w:r>
        <w:rPr>
          <w:b/>
        </w:rPr>
        <w:t xml:space="preserve">Page 3 — Carrier scorecard: </w:t>
      </w:r>
      <w:r>
        <w:t>Shipment volume, OTIF, RTO and logistics cost per shipment.</w:t>
      </w:r>
    </w:p>
    <w:p>
      <w:pPr>
        <w:pStyle w:val="ListBullet"/>
      </w:pPr>
      <w:r>
        <w:rPr>
          <w:b/>
        </w:rPr>
        <w:t xml:space="preserve">Page 4 — RTO and root causes: </w:t>
      </w:r>
      <w:r>
        <w:t>Payment mode, reason, product, warehouse and carrier breakdown with explicitly labelled scenario assumptions.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