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pPr>
        <w:pStyle w:val="Subtitle"/>
      </w:pPr>
      <w:r>
        <w:t>Customer Churn &amp; Retention Decision Support — Portfolio Case Study</w:t>
      </w:r>
    </w:p>
    <w:tbl>
      <w:tblPr>
        <w:tblStyle w:val="LightShading-Accent1"/>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BRD-CHURN-001</w:t>
            </w:r>
          </w:p>
        </w:tc>
      </w:tr>
      <w:tr>
        <w:tc>
          <w:tcPr>
            <w:tcW w:type="dxa" w:w="4320"/>
          </w:tcPr>
          <w:p>
            <w:r>
              <w:t>Version</w:t>
            </w:r>
          </w:p>
        </w:tc>
        <w:tc>
          <w:tcPr>
            <w:tcW w:type="dxa" w:w="4320"/>
          </w:tcPr>
          <w:p>
            <w:r>
              <w:t>1.0</w:t>
            </w:r>
          </w:p>
        </w:tc>
      </w:tr>
      <w:tr>
        <w:tc>
          <w:tcPr>
            <w:tcW w:type="dxa" w:w="4320"/>
          </w:tcPr>
          <w:p>
            <w:r>
              <w:t>Status</w:t>
            </w:r>
          </w:p>
        </w:tc>
        <w:tc>
          <w:tcPr>
            <w:tcW w:type="dxa" w:w="4320"/>
          </w:tcPr>
          <w:p>
            <w:r>
              <w:t>Draft for portfolio demonstration</w:t>
            </w:r>
          </w:p>
        </w:tc>
      </w:tr>
      <w:tr>
        <w:tc>
          <w:tcPr>
            <w:tcW w:type="dxa" w:w="4320"/>
          </w:tcPr>
          <w:p>
            <w:r>
              <w:t>Prepared by</w:t>
            </w:r>
          </w:p>
        </w:tc>
        <w:tc>
          <w:tcPr>
            <w:tcW w:type="dxa" w:w="4320"/>
          </w:tcPr>
          <w:p>
            <w:r>
              <w:t>Shruti Thacker</w:t>
            </w:r>
          </w:p>
        </w:tc>
      </w:tr>
      <w:tr>
        <w:tc>
          <w:tcPr>
            <w:tcW w:type="dxa" w:w="4320"/>
          </w:tcPr>
          <w:p>
            <w:r>
              <w:t>Scenario</w:t>
            </w:r>
          </w:p>
        </w:tc>
        <w:tc>
          <w:tcPr>
            <w:tcW w:type="dxa" w:w="4320"/>
          </w:tcPr>
          <w:p>
            <w:r>
              <w:t>Jio-inspired Indian subscription business (hypothetical)</w:t>
            </w:r>
          </w:p>
        </w:tc>
      </w:tr>
      <w:tr>
        <w:tc>
          <w:tcPr>
            <w:tcW w:type="dxa" w:w="4320"/>
          </w:tcPr>
          <w:p>
            <w:r>
              <w:t>Date</w:t>
            </w:r>
          </w:p>
        </w:tc>
        <w:tc>
          <w:tcPr>
            <w:tcW w:type="dxa" w:w="4320"/>
          </w:tcPr>
          <w:p>
            <w:r>
              <w:t>October 2026</w:t>
            </w:r>
          </w:p>
        </w:tc>
      </w:tr>
    </w:tbl>
    <w:p>
      <w:pPr>
        <w:pStyle w:val="Heading1"/>
      </w:pPr>
      <w:r>
        <w:t>Important disclosure</w:t>
      </w:r>
    </w:p>
    <w:p>
      <w:r>
        <w:t>This is an independent, self-directed portfolio exercise. It is not affiliated with, commissioned by, endorsed by, or based on internal data from Reliance Jio or any Jio group company. All customer and event records are synthetic. Stakeholder roles and requirements are hypothetical and have not been approved by a real organisation.</w:t>
      </w:r>
    </w:p>
    <w:p>
      <w:pPr>
        <w:pStyle w:val="Heading1"/>
      </w:pPr>
      <w:r>
        <w:t>1. Executive summary</w:t>
      </w:r>
    </w:p>
    <w:p>
      <w:r>
        <w:t>The case study explores a synthetic subscription dataset containing 3,000 customer records and 4,118 support/payment events. The supplied snapshot includes 632 records marked as churned (21.07%). Annualized revenue represented in the customer table totals ₹20,868,000; ₹4,332,816 is associated with records marked as churned. These are descriptive values from synthetic data, not audited revenue, cash loss, or estimated recoverable savings.</w:t>
      </w:r>
    </w:p>
    <w:p>
      <w:r>
        <w:t>The goal is to demonstrate a Business Analyst workflow: frame a business question, explore data with SQL, document requirements and proposed rules, map user stories to tests, and identify questions that must be resolved before implementation.</w:t>
      </w:r>
    </w:p>
    <w:p>
      <w:pPr>
        <w:pStyle w:val="Heading1"/>
      </w:pPr>
      <w:r>
        <w:t>2. Business objectives</w:t>
      </w:r>
    </w:p>
    <w:p>
      <w:pPr>
        <w:pStyle w:val="ListBullet"/>
      </w:pPr>
      <w:r>
        <w:t>Explore recorded churn patterns by customer attributes and recorded root-cause categories.</w:t>
      </w:r>
    </w:p>
    <w:p>
      <w:pPr>
        <w:pStyle w:val="ListBullet"/>
      </w:pPr>
      <w:r>
        <w:t>Create a reviewable prioritisation queue from the stored risk score and approved status fields.</w:t>
      </w:r>
    </w:p>
    <w:p>
      <w:pPr>
        <w:pStyle w:val="ListBullet"/>
      </w:pPr>
      <w:r>
        <w:t>Translate analysis questions into draft requirements, business rules, KPIs, user stories, and UAT scenarios.</w:t>
      </w:r>
    </w:p>
    <w:p>
      <w:pPr>
        <w:pStyle w:val="ListBullet"/>
      </w:pPr>
      <w:r>
        <w:t>Document data gaps and controls needed before any real-world rollout.</w:t>
      </w:r>
    </w:p>
    <w:p>
      <w:pPr>
        <w:pStyle w:val="Heading1"/>
      </w:pPr>
      <w:r>
        <w:t>3. Scope</w:t>
      </w:r>
    </w:p>
    <w:p>
      <w:pPr>
        <w:pStyle w:val="Heading2"/>
      </w:pPr>
      <w:r>
        <w:t>In scope</w:t>
      </w:r>
    </w:p>
    <w:p>
      <w:pPr>
        <w:pStyle w:val="ListBullet"/>
      </w:pPr>
      <w:r>
        <w:t>SQL-based descriptive analysis of synthetic customer and event data.</w:t>
      </w:r>
    </w:p>
    <w:p>
      <w:pPr>
        <w:pStyle w:val="ListBullet"/>
      </w:pPr>
      <w:r>
        <w:t>Draft functional requirements and proposed retention decision rules.</w:t>
      </w:r>
    </w:p>
    <w:p>
      <w:pPr>
        <w:pStyle w:val="ListBullet"/>
      </w:pPr>
      <w:r>
        <w:t>Stakeholder personas, KPI definitions, traceability, and UAT planning.</w:t>
      </w:r>
    </w:p>
    <w:p>
      <w:pPr>
        <w:pStyle w:val="ListBullet"/>
      </w:pPr>
      <w:r>
        <w:t>Local SQL Server scripts for repeatable portfolio analysis.</w:t>
      </w:r>
    </w:p>
    <w:p>
      <w:pPr>
        <w:pStyle w:val="Heading2"/>
      </w:pPr>
      <w:r>
        <w:t>Out of scope</w:t>
      </w:r>
    </w:p>
    <w:p>
      <w:pPr>
        <w:pStyle w:val="ListBullet"/>
      </w:pPr>
      <w:r>
        <w:t>Any real Jio system, customer, employee, or internal information.</w:t>
      </w:r>
    </w:p>
    <w:p>
      <w:pPr>
        <w:pStyle w:val="ListBullet"/>
      </w:pPr>
      <w:r>
        <w:t>Production deployment, CRM or messaging integrations, and payment processing.</w:t>
      </w:r>
    </w:p>
    <w:p>
      <w:pPr>
        <w:pStyle w:val="ListBullet"/>
      </w:pPr>
      <w:r>
        <w:t>A validated predictive model, causal analysis, or measured intervention ROI.</w:t>
      </w:r>
    </w:p>
    <w:p>
      <w:pPr>
        <w:pStyle w:val="ListBullet"/>
      </w:pPr>
      <w:r>
        <w:t>Approved commercial offers, pricing, or service-credit policy.</w:t>
      </w:r>
    </w:p>
    <w:p>
      <w:pPr>
        <w:pStyle w:val="Heading1"/>
      </w:pPr>
      <w:r>
        <w:t>4. Stakeholders and users</w:t>
      </w:r>
    </w:p>
    <w:p>
      <w:r>
        <w:t>Hypothetical roles for discovery: business sponsor, retention operations lead, billing/payments product manager, customer support lead, data/BI analyst, privacy/legal representative, and customer representative. No real stakeholder interviews were conducted.</w:t>
      </w:r>
    </w:p>
    <w:p>
      <w:pPr>
        <w:pStyle w:val="Heading1"/>
      </w:pPr>
      <w:r>
        <w:t>5. Functional requirements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Acceptance criteria summary</w:t>
            </w:r>
          </w:p>
        </w:tc>
      </w:tr>
      <w:tr>
        <w:tc>
          <w:tcPr>
            <w:tcW w:type="dxa" w:w="2160"/>
          </w:tcPr>
          <w:p>
            <w:r>
              <w:t>FR-01</w:t>
            </w:r>
          </w:p>
        </w:tc>
        <w:tc>
          <w:tcPr>
            <w:tcW w:type="dxa" w:w="2160"/>
          </w:tcPr>
          <w:p>
            <w:r>
              <w:t>Allow analysts to segment active and churned records by key attributes.</w:t>
            </w:r>
          </w:p>
        </w:tc>
        <w:tc>
          <w:tcPr>
            <w:tcW w:type="dxa" w:w="2160"/>
          </w:tcPr>
          <w:p>
            <w:r>
              <w:t>Must</w:t>
            </w:r>
          </w:p>
        </w:tc>
        <w:tc>
          <w:tcPr>
            <w:tcW w:type="dxa" w:w="2160"/>
          </w:tcPr>
          <w:p>
            <w:r>
              <w:t>Outputs reconcile to documented definitions and source row counts.</w:t>
            </w:r>
          </w:p>
        </w:tc>
      </w:tr>
      <w:tr>
        <w:tc>
          <w:tcPr>
            <w:tcW w:type="dxa" w:w="2160"/>
          </w:tcPr>
          <w:p>
            <w:r>
              <w:t>FR-02</w:t>
            </w:r>
          </w:p>
        </w:tc>
        <w:tc>
          <w:tcPr>
            <w:tcW w:type="dxa" w:w="2160"/>
          </w:tcPr>
          <w:p>
            <w:r>
              <w:t>Identify active accounts that meet an agreed risk-score threshold.</w:t>
            </w:r>
          </w:p>
        </w:tc>
        <w:tc>
          <w:tcPr>
            <w:tcW w:type="dxa" w:w="2160"/>
          </w:tcPr>
          <w:p>
            <w:r>
              <w:t>Must</w:t>
            </w:r>
          </w:p>
        </w:tc>
        <w:tc>
          <w:tcPr>
            <w:tcW w:type="dxa" w:w="2160"/>
          </w:tcPr>
          <w:p>
            <w:r>
              <w:t>Only eligible active records above the approved threshold appear.</w:t>
            </w:r>
          </w:p>
        </w:tc>
      </w:tr>
      <w:tr>
        <w:tc>
          <w:tcPr>
            <w:tcW w:type="dxa" w:w="2160"/>
          </w:tcPr>
          <w:p>
            <w:r>
              <w:t>FR-03</w:t>
            </w:r>
          </w:p>
        </w:tc>
        <w:tc>
          <w:tcPr>
            <w:tcW w:type="dxa" w:w="2160"/>
          </w:tcPr>
          <w:p>
            <w:r>
              <w:t>Display the reason/action recommendation associated with a queue record.</w:t>
            </w:r>
          </w:p>
        </w:tc>
        <w:tc>
          <w:tcPr>
            <w:tcW w:type="dxa" w:w="2160"/>
          </w:tcPr>
          <w:p>
            <w:r>
              <w:t>Must</w:t>
            </w:r>
          </w:p>
        </w:tc>
        <w:tc>
          <w:tcPr>
            <w:tcW w:type="dxa" w:w="2160"/>
          </w:tcPr>
          <w:p>
            <w:r>
              <w:t>Each record includes a traceable rule match and readable recommendation.</w:t>
            </w:r>
          </w:p>
        </w:tc>
      </w:tr>
      <w:tr>
        <w:tc>
          <w:tcPr>
            <w:tcW w:type="dxa" w:w="2160"/>
          </w:tcPr>
          <w:p>
            <w:r>
              <w:t>FR-04</w:t>
            </w:r>
          </w:p>
        </w:tc>
        <w:tc>
          <w:tcPr>
            <w:tcW w:type="dxa" w:w="2160"/>
          </w:tcPr>
          <w:p>
            <w:r>
              <w:t>Apply an approved budget guardrail to any proposed retention offer.</w:t>
            </w:r>
          </w:p>
        </w:tc>
        <w:tc>
          <w:tcPr>
            <w:tcW w:type="dxa" w:w="2160"/>
          </w:tcPr>
          <w:p>
            <w:r>
              <w:t>Should</w:t>
            </w:r>
          </w:p>
        </w:tc>
        <w:tc>
          <w:tcPr>
            <w:tcW w:type="dxa" w:w="2160"/>
          </w:tcPr>
          <w:p>
            <w:r>
              <w:t>Boundary tests demonstrate the rule; no offer is sent by this prototype.</w:t>
            </w:r>
          </w:p>
        </w:tc>
      </w:tr>
      <w:tr>
        <w:tc>
          <w:tcPr>
            <w:tcW w:type="dxa" w:w="2160"/>
          </w:tcPr>
          <w:p>
            <w:r>
              <w:t>FR-05</w:t>
            </w:r>
          </w:p>
        </w:tc>
        <w:tc>
          <w:tcPr>
            <w:tcW w:type="dxa" w:w="2160"/>
          </w:tcPr>
          <w:p>
            <w:r>
              <w:t>Map requirements to user stories, SQL components, and UAT scenarios.</w:t>
            </w:r>
          </w:p>
        </w:tc>
        <w:tc>
          <w:tcPr>
            <w:tcW w:type="dxa" w:w="2160"/>
          </w:tcPr>
          <w:p>
            <w:r>
              <w:t>Must</w:t>
            </w:r>
          </w:p>
        </w:tc>
        <w:tc>
          <w:tcPr>
            <w:tcW w:type="dxa" w:w="2160"/>
          </w:tcPr>
          <w:p>
            <w:r>
              <w:t>Each requirement has a linked artefact or documented gap.</w:t>
            </w:r>
          </w:p>
        </w:tc>
      </w:tr>
      <w:tr>
        <w:tc>
          <w:tcPr>
            <w:tcW w:type="dxa" w:w="2160"/>
          </w:tcPr>
          <w:p>
            <w:r>
              <w:t>FR-06</w:t>
            </w:r>
          </w:p>
        </w:tc>
        <w:tc>
          <w:tcPr>
            <w:tcW w:type="dxa" w:w="2160"/>
          </w:tcPr>
          <w:p>
            <w:r>
              <w:t>Respect consent, channel preferences, privacy, and opt-out requirements before outreach.</w:t>
            </w:r>
          </w:p>
        </w:tc>
        <w:tc>
          <w:tcPr>
            <w:tcW w:type="dxa" w:w="2160"/>
          </w:tcPr>
          <w:p>
            <w:r>
              <w:t>Must</w:t>
            </w:r>
          </w:p>
        </w:tc>
        <w:tc>
          <w:tcPr>
            <w:tcW w:type="dxa" w:w="2160"/>
          </w:tcPr>
          <w:p>
            <w:r>
              <w:t>Privacy/legal review and consent validation are prerequisites to deployment.</w:t>
            </w:r>
          </w:p>
        </w:tc>
      </w:tr>
    </w:tbl>
    <w:p>
      <w:pPr>
        <w:pStyle w:val="Heading1"/>
      </w:pPr>
      <w:r>
        <w:t>6. Proposed business rules</w:t>
      </w:r>
    </w:p>
    <w:p>
      <w:pPr>
        <w:pStyle w:val="ListBullet"/>
      </w:pPr>
      <w:r>
        <w:t>Payment friction: flag high-risk active accounts with recent payment failures for billing review.</w:t>
      </w:r>
    </w:p>
    <w:p>
      <w:pPr>
        <w:pStyle w:val="ListBullet"/>
      </w:pPr>
      <w:r>
        <w:t>Support friction: flag high-risk active accounts with a recorded SLA-breach indicator for support review.</w:t>
      </w:r>
    </w:p>
    <w:p>
      <w:pPr>
        <w:pStyle w:val="ListBullet"/>
      </w:pPr>
      <w:r>
        <w:t>Usage decline: consider pause/downgrade options when an active account meets approved risk and usage thresholds.</w:t>
      </w:r>
    </w:p>
    <w:p>
      <w:pPr>
        <w:pStyle w:val="ListBullet"/>
      </w:pPr>
      <w:r>
        <w:t>Early tenure: consider an onboarding nudge when onboarding is incomplete, subject to consent and channel validation.</w:t>
      </w:r>
    </w:p>
    <w:p>
      <w:pPr>
        <w:pStyle w:val="ListBullet"/>
      </w:pPr>
      <w:r>
        <w:t>Offer guardrail: queue membership alone does not grant discount eligibility; offers require approved eligibility, budget, and controls.</w:t>
      </w:r>
    </w:p>
    <w:p>
      <w:r>
        <w:t>These rules are proposals for discussion. The SQL view prioritises records using an existing score; it does not calculate a new predictive score or contact customers.</w:t>
      </w:r>
    </w:p>
    <w:p>
      <w:pPr>
        <w:pStyle w:val="Heading1"/>
      </w:pPr>
      <w:r>
        <w:t>7. KPI definitions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Definition</w:t>
            </w:r>
          </w:p>
        </w:tc>
        <w:tc>
          <w:tcPr>
            <w:tcW w:type="dxa" w:w="2880"/>
          </w:tcPr>
          <w:p>
            <w:r>
              <w:t>Measurement note</w:t>
            </w:r>
          </w:p>
        </w:tc>
      </w:tr>
      <w:tr>
        <w:tc>
          <w:tcPr>
            <w:tcW w:type="dxa" w:w="2880"/>
          </w:tcPr>
          <w:p>
            <w:r>
              <w:t>Snapshot churn share</w:t>
            </w:r>
          </w:p>
        </w:tc>
        <w:tc>
          <w:tcPr>
            <w:tcW w:type="dxa" w:w="2880"/>
          </w:tcPr>
          <w:p>
            <w:r>
              <w:t>Churned records ÷ all customer records</w:t>
            </w:r>
          </w:p>
        </w:tc>
        <w:tc>
          <w:tcPr>
            <w:tcW w:type="dxa" w:w="2880"/>
          </w:tcPr>
          <w:p>
            <w:r>
              <w:t>Not a cohort/time-window churn rate.</w:t>
            </w:r>
          </w:p>
        </w:tc>
      </w:tr>
      <w:tr>
        <w:tc>
          <w:tcPr>
            <w:tcW w:type="dxa" w:w="2880"/>
          </w:tcPr>
          <w:p>
            <w:r>
              <w:t>Churned ARR represented</w:t>
            </w:r>
          </w:p>
        </w:tc>
        <w:tc>
          <w:tcPr>
            <w:tcW w:type="dxa" w:w="2880"/>
          </w:tcPr>
          <w:p>
            <w:r>
              <w:t>Sum of ARR for records marked churned</w:t>
            </w:r>
          </w:p>
        </w:tc>
        <w:tc>
          <w:tcPr>
            <w:tcW w:type="dxa" w:w="2880"/>
          </w:tcPr>
          <w:p>
            <w:r>
              <w:t>Not actual cash loss or recoverable benefit.</w:t>
            </w:r>
          </w:p>
        </w:tc>
      </w:tr>
      <w:tr>
        <w:tc>
          <w:tcPr>
            <w:tcW w:type="dxa" w:w="2880"/>
          </w:tcPr>
          <w:p>
            <w:r>
              <w:t>Active at-risk ARR represented</w:t>
            </w:r>
          </w:p>
        </w:tc>
        <w:tc>
          <w:tcPr>
            <w:tcW w:type="dxa" w:w="2880"/>
          </w:tcPr>
          <w:p>
            <w:r>
              <w:t>ARR for active records meeting agreed risk threshold</w:t>
            </w:r>
          </w:p>
        </w:tc>
        <w:tc>
          <w:tcPr>
            <w:tcW w:type="dxa" w:w="2880"/>
          </w:tcPr>
          <w:p>
            <w:r>
              <w:t>Threshold and active-status definition must be agreed.</w:t>
            </w:r>
          </w:p>
        </w:tc>
      </w:tr>
      <w:tr>
        <w:tc>
          <w:tcPr>
            <w:tcW w:type="dxa" w:w="2880"/>
          </w:tcPr>
          <w:p>
            <w:r>
              <w:t>Payment failure rate</w:t>
            </w:r>
          </w:p>
        </w:tc>
        <w:tc>
          <w:tcPr>
            <w:tcW w:type="dxa" w:w="2880"/>
          </w:tcPr>
          <w:p>
            <w:r>
              <w:t>Eligible failed payment attempts ÷ eligible attempts</w:t>
            </w:r>
          </w:p>
        </w:tc>
        <w:tc>
          <w:tcPr>
            <w:tcW w:type="dxa" w:w="2880"/>
          </w:tcPr>
          <w:p>
            <w:r>
              <w:t>Requires a validated event-level denominator.</w:t>
            </w:r>
          </w:p>
        </w:tc>
      </w:tr>
      <w:tr>
        <w:tc>
          <w:tcPr>
            <w:tcW w:type="dxa" w:w="2880"/>
          </w:tcPr>
          <w:p>
            <w:r>
              <w:t>Support SLA compliance</w:t>
            </w:r>
          </w:p>
        </w:tc>
        <w:tc>
          <w:tcPr>
            <w:tcW w:type="dxa" w:w="2880"/>
          </w:tcPr>
          <w:p>
            <w:r>
              <w:t>Eligible tickets resolved within SLA ÷ eligible tickets</w:t>
            </w:r>
          </w:p>
        </w:tc>
        <w:tc>
          <w:tcPr>
            <w:tcW w:type="dxa" w:w="2880"/>
          </w:tcPr>
          <w:p>
            <w:r>
              <w:t>Requires agreed SLA and business-hour rules.</w:t>
            </w:r>
          </w:p>
        </w:tc>
      </w:tr>
      <w:tr>
        <w:tc>
          <w:tcPr>
            <w:tcW w:type="dxa" w:w="2880"/>
          </w:tcPr>
          <w:p>
            <w:r>
              <w:t>Retention save rate</w:t>
            </w:r>
          </w:p>
        </w:tc>
        <w:tc>
          <w:tcPr>
            <w:tcW w:type="dxa" w:w="2880"/>
          </w:tcPr>
          <w:p>
            <w:r>
              <w:t>Targeted eligible accounts retained after observation window ÷ eligible targeted accounts</w:t>
            </w:r>
          </w:p>
        </w:tc>
        <w:tc>
          <w:tcPr>
            <w:tcW w:type="dxa" w:w="2880"/>
          </w:tcPr>
          <w:p>
            <w:r>
              <w:t>Requires intervention log, time window, and comparison design.</w:t>
            </w:r>
          </w:p>
        </w:tc>
      </w:tr>
    </w:tbl>
    <w:p>
      <w:pPr>
        <w:pStyle w:val="Heading1"/>
      </w:pPr>
      <w:r>
        <w:t>8. Assumptions, dependencies, and risks</w:t>
      </w:r>
    </w:p>
    <w:p>
      <w:pPr>
        <w:pStyle w:val="ListBullet"/>
      </w:pPr>
      <w:r>
        <w:t>The supplied fields are synthetic and intended for learning.</w:t>
      </w:r>
    </w:p>
    <w:p>
      <w:pPr>
        <w:pStyle w:val="ListBullet"/>
      </w:pPr>
      <w:r>
        <w:t>Risk-score quality and calibration are unknown.</w:t>
      </w:r>
    </w:p>
    <w:p>
      <w:pPr>
        <w:pStyle w:val="ListBullet"/>
      </w:pPr>
      <w:r>
        <w:t>A real solution would need renewal dates, consent preferences, intervention history, and outcome data.</w:t>
      </w:r>
    </w:p>
    <w:p>
      <w:pPr>
        <w:pStyle w:val="ListBullet"/>
      </w:pPr>
      <w:r>
        <w:t>Privacy, legal, fraud, customer-experience, and unit-economics reviews are required before outreach or offers.</w:t>
      </w:r>
    </w:p>
    <w:p>
      <w:pPr>
        <w:pStyle w:val="ListBullet"/>
      </w:pPr>
      <w:r>
        <w:t>Observed relationships are descriptive and do not establish causation.</w:t>
      </w:r>
    </w:p>
    <w:p>
      <w:pPr>
        <w:pStyle w:val="Heading1"/>
      </w:pPr>
      <w:r>
        <w:t>9. UAT approach</w:t>
      </w:r>
    </w:p>
    <w:p>
      <w:r>
        <w:t>The workbook contains UAT scenarios, not completed test evidence. Status remains Not Run until the scripts are executed in a local test database and actual output, tester, date, defects, and retest evidence are recorded.</w:t>
      </w:r>
    </w:p>
    <w:p>
      <w:pPr>
        <w:pStyle w:val="Heading1"/>
      </w:pPr>
      <w:r>
        <w:t>10. Open questions</w:t>
      </w:r>
    </w:p>
    <w:p>
      <w:pPr>
        <w:pStyle w:val="ListNumber"/>
      </w:pPr>
      <w:r>
        <w:t>What is the approved churn definition and measurement window?</w:t>
      </w:r>
    </w:p>
    <w:p>
      <w:pPr>
        <w:pStyle w:val="ListNumber"/>
      </w:pPr>
      <w:r>
        <w:t>Who owns and validates the stored risk score?</w:t>
      </w:r>
    </w:p>
    <w:p>
      <w:pPr>
        <w:pStyle w:val="ListNumber"/>
      </w:pPr>
      <w:r>
        <w:t>What is the source of truth for payment failures and support SLA events?</w:t>
      </w:r>
    </w:p>
    <w:p>
      <w:pPr>
        <w:pStyle w:val="ListNumber"/>
      </w:pPr>
      <w:r>
        <w:t>Which channels have valid consent and opt-out handling?</w:t>
      </w:r>
    </w:p>
    <w:p>
      <w:pPr>
        <w:pStyle w:val="ListNumber"/>
      </w:pPr>
      <w:r>
        <w:t>What is the approved incentive policy and cost ceiling?</w:t>
      </w:r>
    </w:p>
    <w:p>
      <w:pPr>
        <w:pStyle w:val="ListNumber"/>
      </w:pPr>
      <w:r>
        <w:t>How will a pilot measure retention impact against an appropriate comparison group?</w:t>
      </w:r>
    </w:p>
    <w:p>
      <w:pPr>
        <w:pStyle w:val="Heading1"/>
      </w:pPr>
      <w:r>
        <w:t>11. Approval</w:t>
      </w:r>
    </w:p>
    <w:p>
      <w:r>
        <w:t>Status: Draft for portfolio demonstration only. Sign-off is not applicable because no real organisation or project sponsor is involved.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