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b/>
          <w:color w:val="1E3C72"/>
          <w:sz w:val="44"/>
        </w:rPr>
        <w:t>Sales Forecasting &amp; Demand Intelligence</w:t>
      </w:r>
    </w:p>
    <w:p>
      <w:pPr>
        <w:pStyle w:val="Heading1"/>
        <w:spacing w:before="120" w:after="40"/>
      </w:pPr>
      <w:r>
        <w:rPr>
          <w:b/>
          <w:color w:val="1E3C72"/>
          <w:sz w:val="30"/>
        </w:rPr>
        <w:t>1. Executive Summary</w:t>
      </w:r>
    </w:p>
    <w:p>
      <w:pPr>
        <w:spacing w:after="200" w:line="300" w:lineRule="auto"/>
      </w:pPr>
      <w:r>
        <w:rPr>
          <w:sz w:val="24"/>
        </w:rPr>
        <w:t>This report analyzes four years of sales data across three product lines and four regions. Overall growth is steady, driven by the Technology category and the West region. We anticipate a reliable revenue surge in Nov/Dec, consistent with historical trends. However, past data reveals inventory strain during unexpected demand spikes. By implementing predictive stock adjustments and tracking anomalies early, the supply chain can meet Q4 demand while minimizing excess warehouse costs.</w:t>
      </w:r>
    </w:p>
    <w:p>
      <w:pPr>
        <w:pStyle w:val="Heading1"/>
        <w:spacing w:before="280" w:after="40"/>
      </w:pPr>
      <w:r>
        <w:rPr>
          <w:b/>
          <w:color w:val="1E3C72"/>
          <w:sz w:val="30"/>
        </w:rPr>
        <w:t>2. Key Findings from Sales History</w:t>
      </w:r>
    </w:p>
    <w:p>
      <w:pPr>
        <w:pStyle w:val="ListBullet"/>
        <w:spacing w:after="120" w:line="300" w:lineRule="auto"/>
      </w:pPr>
      <w:r>
        <w:rPr>
          <w:b/>
        </w:rPr>
        <w:t xml:space="preserve">Technology Leads: </w:t>
      </w:r>
      <w:r>
        <w:rPr>
          <w:sz w:val="24"/>
        </w:rPr>
        <w:t>Technology is the primary revenue driver, outpacing Furniture and Office Supplies.</w:t>
      </w:r>
    </w:p>
    <w:p>
      <w:pPr>
        <w:pStyle w:val="ListBullet"/>
        <w:spacing w:after="120" w:line="300" w:lineRule="auto"/>
      </w:pPr>
      <w:r>
        <w:rPr>
          <w:b/>
        </w:rPr>
        <w:t xml:space="preserve">West Region Growth: </w:t>
      </w:r>
      <w:r>
        <w:rPr>
          <w:sz w:val="24"/>
        </w:rPr>
        <w:t>The West region shows the strongest year-over-year growth.</w:t>
      </w:r>
    </w:p>
    <w:p>
      <w:pPr>
        <w:pStyle w:val="ListBullet"/>
        <w:spacing w:after="120" w:line="300" w:lineRule="auto"/>
      </w:pPr>
      <w:r>
        <w:rPr>
          <w:b/>
        </w:rPr>
        <w:t xml:space="preserve">Fulfillment Bottlenecks: </w:t>
      </w:r>
      <w:r>
        <w:rPr>
          <w:sz w:val="24"/>
        </w:rPr>
        <w:t>Shipping times average 3.9 days but exceed 5 days in lagging regions, impacting retention.</w:t>
      </w:r>
    </w:p>
    <w:p>
      <w:pPr>
        <w:pStyle w:val="Heading1"/>
        <w:spacing w:before="280" w:after="40"/>
      </w:pPr>
      <w:r>
        <w:rPr>
          <w:b/>
          <w:color w:val="1E3C72"/>
          <w:sz w:val="30"/>
        </w:rPr>
        <w:t>3. Three-Month Sales Forecast (Oct - Dec)</w:t>
      </w:r>
    </w:p>
    <w:p>
      <w:pPr>
        <w:spacing w:after="160" w:line="300" w:lineRule="auto"/>
      </w:pPr>
      <w:r>
        <w:rPr>
          <w:sz w:val="24"/>
        </w:rPr>
        <w:t>Our predictive model projects strong growth over the next 90 days. Because real-world demand fluctuates, these forecasts come with a 'confidence range'—giving us a safe upper and lower bound for planning inventory.</w:t>
      </w:r>
    </w:p>
    <w:tbl>
      <w:tblPr>
        <w:tblStyle w:val="TableGrid"/>
        <w:tblW w:type="auto" w:w="0"/>
        <w:jc w:val="center"/>
        <w:tblLook w:firstColumn="1" w:firstRow="1" w:lastColumn="0" w:lastRow="0" w:noHBand="0" w:noVBand="1" w:val="04A0"/>
      </w:tblPr>
      <w:tblGrid>
        <w:gridCol w:w="3393"/>
        <w:gridCol w:w="3393"/>
        <w:gridCol w:w="3393"/>
      </w:tblGrid>
      <w:tr>
        <w:tc>
          <w:tcPr>
            <w:tcW w:type="dxa" w:w="3393"/>
            <w:shd w:val="clear" w:color="auto" w:fill="1E3C72"/>
          </w:tcPr>
          <w:p>
            <w:pPr>
              <w:jc w:val="center"/>
            </w:pPr>
            <w:r>
              <w:rPr>
                <w:b/>
                <w:color w:val="FFFFFF"/>
                <w:sz w:val="22"/>
              </w:rPr>
              <w:t>Month</w:t>
            </w:r>
          </w:p>
        </w:tc>
        <w:tc>
          <w:tcPr>
            <w:tcW w:type="dxa" w:w="3393"/>
            <w:shd w:val="clear" w:color="auto" w:fill="1E3C72"/>
          </w:tcPr>
          <w:p>
            <w:pPr>
              <w:jc w:val="center"/>
            </w:pPr>
            <w:r>
              <w:rPr>
                <w:b/>
                <w:color w:val="FFFFFF"/>
                <w:sz w:val="22"/>
              </w:rPr>
              <w:t>Expected Revenue</w:t>
            </w:r>
          </w:p>
        </w:tc>
        <w:tc>
          <w:tcPr>
            <w:tcW w:type="dxa" w:w="3393"/>
            <w:shd w:val="clear" w:color="auto" w:fill="1E3C72"/>
          </w:tcPr>
          <w:p>
            <w:pPr>
              <w:jc w:val="center"/>
            </w:pPr>
            <w:r>
              <w:rPr>
                <w:b/>
                <w:color w:val="FFFFFF"/>
                <w:sz w:val="22"/>
              </w:rPr>
              <w:t>Confidence Range (Low to High)</w:t>
            </w:r>
          </w:p>
        </w:tc>
      </w:tr>
      <w:tr>
        <w:tc>
          <w:tcPr>
            <w:tcW w:type="dxa" w:w="3393"/>
            <w:shd w:val="clear" w:color="auto" w:fill="FFFFFF"/>
          </w:tcPr>
          <w:p>
            <w:pPr>
              <w:jc w:val="center"/>
            </w:pPr>
            <w:r>
              <w:rPr>
                <w:b/>
                <w:sz w:val="22"/>
              </w:rPr>
              <w:t>October</w:t>
            </w:r>
          </w:p>
        </w:tc>
        <w:tc>
          <w:tcPr>
            <w:tcW w:type="dxa" w:w="3393"/>
            <w:shd w:val="clear" w:color="auto" w:fill="FFFFFF"/>
          </w:tcPr>
          <w:p>
            <w:pPr>
              <w:jc w:val="center"/>
            </w:pPr>
            <w:r>
              <w:rPr>
                <w:sz w:val="22"/>
              </w:rPr>
              <w:t>~238,500</w:t>
            </w:r>
          </w:p>
        </w:tc>
        <w:tc>
          <w:tcPr>
            <w:tcW w:type="dxa" w:w="3393"/>
            <w:shd w:val="clear" w:color="auto" w:fill="FFFFFF"/>
          </w:tcPr>
          <w:p>
            <w:pPr>
              <w:jc w:val="center"/>
            </w:pPr>
            <w:r>
              <w:rPr>
                <w:sz w:val="22"/>
              </w:rPr>
              <w:t>190,000  to  275,000</w:t>
            </w:r>
          </w:p>
        </w:tc>
      </w:tr>
      <w:tr>
        <w:tc>
          <w:tcPr>
            <w:tcW w:type="dxa" w:w="3393"/>
            <w:shd w:val="clear" w:color="auto" w:fill="F2F4F4"/>
          </w:tcPr>
          <w:p>
            <w:pPr>
              <w:jc w:val="center"/>
            </w:pPr>
            <w:r>
              <w:rPr>
                <w:b/>
                <w:sz w:val="22"/>
              </w:rPr>
              <w:t>November</w:t>
            </w:r>
          </w:p>
        </w:tc>
        <w:tc>
          <w:tcPr>
            <w:tcW w:type="dxa" w:w="3393"/>
            <w:shd w:val="clear" w:color="auto" w:fill="F2F4F4"/>
          </w:tcPr>
          <w:p>
            <w:pPr>
              <w:jc w:val="center"/>
            </w:pPr>
            <w:r>
              <w:rPr>
                <w:sz w:val="22"/>
              </w:rPr>
              <w:t>~252,000</w:t>
            </w:r>
          </w:p>
        </w:tc>
        <w:tc>
          <w:tcPr>
            <w:tcW w:type="dxa" w:w="3393"/>
            <w:shd w:val="clear" w:color="auto" w:fill="F2F4F4"/>
          </w:tcPr>
          <w:p>
            <w:pPr>
              <w:jc w:val="center"/>
            </w:pPr>
            <w:r>
              <w:rPr>
                <w:sz w:val="22"/>
              </w:rPr>
              <w:t>205,000  to  295,000</w:t>
            </w:r>
          </w:p>
        </w:tc>
      </w:tr>
      <w:tr>
        <w:tc>
          <w:tcPr>
            <w:tcW w:type="dxa" w:w="3393"/>
            <w:shd w:val="clear" w:color="auto" w:fill="FFFFFF"/>
          </w:tcPr>
          <w:p>
            <w:pPr>
              <w:jc w:val="center"/>
            </w:pPr>
            <w:r>
              <w:rPr>
                <w:b/>
                <w:sz w:val="22"/>
              </w:rPr>
              <w:t>December</w:t>
            </w:r>
          </w:p>
        </w:tc>
        <w:tc>
          <w:tcPr>
            <w:tcW w:type="dxa" w:w="3393"/>
            <w:shd w:val="clear" w:color="auto" w:fill="FFFFFF"/>
          </w:tcPr>
          <w:p>
            <w:pPr>
              <w:jc w:val="center"/>
            </w:pPr>
            <w:r>
              <w:rPr>
                <w:sz w:val="22"/>
              </w:rPr>
              <w:t>~275,000</w:t>
            </w:r>
          </w:p>
        </w:tc>
        <w:tc>
          <w:tcPr>
            <w:tcW w:type="dxa" w:w="3393"/>
            <w:shd w:val="clear" w:color="auto" w:fill="FFFFFF"/>
          </w:tcPr>
          <w:p>
            <w:pPr>
              <w:jc w:val="center"/>
            </w:pPr>
            <w:r>
              <w:rPr>
                <w:sz w:val="22"/>
              </w:rPr>
              <w:t>225,000  to  320,000</w:t>
            </w:r>
          </w:p>
        </w:tc>
      </w:tr>
    </w:tbl>
    <w:p>
      <w:pPr>
        <w:spacing w:after="200"/>
      </w:pPr>
    </w:p>
    <w:tbl>
      <w:tblPr>
        <w:tblW w:type="auto" w:w="0"/>
        <w:jc w:val="center"/>
        <w:tblLook w:firstColumn="1" w:firstRow="1" w:lastColumn="0" w:lastRow="0" w:noHBand="0" w:noVBand="1" w:val="04A0"/>
      </w:tblPr>
      <w:tblGrid>
        <w:gridCol w:w="5089"/>
        <w:gridCol w:w="5089"/>
      </w:tblGrid>
      <w:tr>
        <w:tc>
          <w:tcPr>
            <w:tcW w:type="dxa" w:w="5089"/>
          </w:tcPr>
          <w:p>
            <w:pPr>
              <w:spacing w:after="80"/>
              <w:jc w:val="center"/>
            </w:pPr>
            <w:r>
              <w:drawing>
                <wp:inline xmlns:a="http://schemas.openxmlformats.org/drawingml/2006/main" xmlns:pic="http://schemas.openxmlformats.org/drawingml/2006/picture">
                  <wp:extent cx="3218688" cy="1149531"/>
                  <wp:docPr id="1" name="Picture 1"/>
                  <wp:cNvGraphicFramePr>
                    <a:graphicFrameLocks noChangeAspect="1"/>
                  </wp:cNvGraphicFramePr>
                  <a:graphic>
                    <a:graphicData uri="http://schemas.openxmlformats.org/drawingml/2006/picture">
                      <pic:pic>
                        <pic:nvPicPr>
                          <pic:cNvPr id="0" name="monthly_sales_trend.png"/>
                          <pic:cNvPicPr/>
                        </pic:nvPicPr>
                        <pic:blipFill>
                          <a:blip r:embed="rId9"/>
                          <a:stretch>
                            <a:fillRect/>
                          </a:stretch>
                        </pic:blipFill>
                        <pic:spPr>
                          <a:xfrm>
                            <a:off x="0" y="0"/>
                            <a:ext cx="3218688" cy="1149531"/>
                          </a:xfrm>
                          <a:prstGeom prst="rect"/>
                        </pic:spPr>
                      </pic:pic>
                    </a:graphicData>
                  </a:graphic>
                </wp:inline>
              </w:drawing>
            </w:r>
          </w:p>
          <w:p>
            <w:pPr>
              <w:spacing w:after="120"/>
              <w:jc w:val="center"/>
            </w:pPr>
            <w:r>
              <w:rPr>
                <w:i/>
                <w:color w:val="646464"/>
                <w:sz w:val="20"/>
              </w:rPr>
              <w:t>Fig 1: Clear Upward Sales Trend &amp; Strong Q4 Seasonality</w:t>
            </w:r>
          </w:p>
        </w:tc>
        <w:tc>
          <w:tcPr>
            <w:tcW w:type="dxa" w:w="5089"/>
          </w:tcPr>
          <w:p>
            <w:pPr>
              <w:spacing w:after="80"/>
              <w:jc w:val="center"/>
            </w:pPr>
            <w:r>
              <w:drawing>
                <wp:inline xmlns:a="http://schemas.openxmlformats.org/drawingml/2006/main" xmlns:pic="http://schemas.openxmlformats.org/drawingml/2006/picture">
                  <wp:extent cx="3218688" cy="1931213"/>
                  <wp:docPr id="2" name="Picture 2"/>
                  <wp:cNvGraphicFramePr>
                    <a:graphicFrameLocks noChangeAspect="1"/>
                  </wp:cNvGraphicFramePr>
                  <a:graphic>
                    <a:graphicData uri="http://schemas.openxmlformats.org/drawingml/2006/picture">
                      <pic:pic>
                        <pic:nvPicPr>
                          <pic:cNvPr id="0" name="prophet_forecast.png"/>
                          <pic:cNvPicPr/>
                        </pic:nvPicPr>
                        <pic:blipFill>
                          <a:blip r:embed="rId10"/>
                          <a:stretch>
                            <a:fillRect/>
                          </a:stretch>
                        </pic:blipFill>
                        <pic:spPr>
                          <a:xfrm>
                            <a:off x="0" y="0"/>
                            <a:ext cx="3218688" cy="1931213"/>
                          </a:xfrm>
                          <a:prstGeom prst="rect"/>
                        </pic:spPr>
                      </pic:pic>
                    </a:graphicData>
                  </a:graphic>
                </wp:inline>
              </w:drawing>
            </w:r>
          </w:p>
          <w:p>
            <w:pPr>
              <w:spacing w:after="120"/>
              <w:jc w:val="center"/>
            </w:pPr>
            <w:r>
              <w:rPr>
                <w:i/>
                <w:color w:val="646464"/>
                <w:sz w:val="20"/>
              </w:rPr>
              <w:t>Fig 2: Q4 Revenue Forecast with Confidence Bounds</w:t>
            </w:r>
          </w:p>
        </w:tc>
      </w:tr>
    </w:tbl>
    <w:p>
      <w:pPr>
        <w:spacing w:after="200"/>
      </w:pPr>
    </w:p>
    <w:p>
      <w:pPr>
        <w:pStyle w:val="Heading1"/>
        <w:spacing w:before="200" w:after="40"/>
      </w:pPr>
      <w:r>
        <w:rPr>
          <w:b/>
          <w:color w:val="1E3C72"/>
          <w:sz w:val="30"/>
        </w:rPr>
        <w:t>4. Top 3 Demand Anomalies Detected</w:t>
      </w:r>
    </w:p>
    <w:p>
      <w:pPr>
        <w:spacing w:after="160" w:line="300" w:lineRule="auto"/>
      </w:pPr>
      <w:r>
        <w:rPr>
          <w:sz w:val="24"/>
        </w:rPr>
        <w:t>We reviewed historical data to find unexpected demand shocks that strained inventory:</w:t>
      </w:r>
    </w:p>
    <w:p>
      <w:pPr>
        <w:pStyle w:val="ListBullet"/>
        <w:spacing w:after="120" w:line="300" w:lineRule="auto"/>
      </w:pPr>
      <w:r>
        <w:rPr>
          <w:b/>
        </w:rPr>
        <w:t xml:space="preserve">November 2016 Surge: </w:t>
      </w:r>
      <w:r>
        <w:rPr>
          <w:sz w:val="24"/>
        </w:rPr>
        <w:t>A massive 61% spike above average, likely a major promotional event. Strains supply chains if not pre-planned.</w:t>
      </w:r>
    </w:p>
    <w:p>
      <w:pPr>
        <w:pStyle w:val="ListBullet"/>
        <w:spacing w:after="120" w:line="300" w:lineRule="auto"/>
      </w:pPr>
      <w:r>
        <w:rPr>
          <w:b/>
        </w:rPr>
        <w:t xml:space="preserve">March 2015 Revenue Drop: </w:t>
      </w:r>
      <w:r>
        <w:rPr>
          <w:sz w:val="24"/>
        </w:rPr>
        <w:t>A sharp 38% drop in expected orders, likely a system outage or unrecorded sales.</w:t>
      </w:r>
    </w:p>
    <w:p>
      <w:pPr>
        <w:pStyle w:val="ListBullet"/>
        <w:spacing w:after="120" w:line="300" w:lineRule="auto"/>
      </w:pPr>
      <w:r>
        <w:rPr>
          <w:b/>
        </w:rPr>
        <w:t xml:space="preserve">September 2017 Institutional Buy: </w:t>
      </w:r>
      <w:r>
        <w:rPr>
          <w:sz w:val="24"/>
        </w:rPr>
        <w:t>A sudden wave of orders, matching a classic B2B stockpiling pattern before Q4.</w:t>
      </w:r>
    </w:p>
    <w:p>
      <w:pPr>
        <w:spacing w:after="80"/>
      </w:pPr>
    </w:p>
    <w:tbl>
      <w:tblPr>
        <w:tblW w:type="auto" w:w="0"/>
        <w:jc w:val="center"/>
        <w:tblLook w:firstColumn="1" w:firstRow="1" w:lastColumn="0" w:lastRow="0" w:noHBand="0" w:noVBand="1" w:val="04A0"/>
      </w:tblPr>
      <w:tblGrid>
        <w:gridCol w:w="5089"/>
        <w:gridCol w:w="5089"/>
      </w:tblGrid>
      <w:tr>
        <w:tc>
          <w:tcPr>
            <w:tcW w:type="dxa" w:w="5089"/>
          </w:tcPr>
          <w:p>
            <w:pPr>
              <w:spacing w:after="80"/>
              <w:jc w:val="center"/>
            </w:pPr>
            <w:r>
              <w:drawing>
                <wp:inline xmlns:a="http://schemas.openxmlformats.org/drawingml/2006/main" xmlns:pic="http://schemas.openxmlformats.org/drawingml/2006/picture">
                  <wp:extent cx="3218688" cy="1005840"/>
                  <wp:docPr id="3" name="Picture 3"/>
                  <wp:cNvGraphicFramePr>
                    <a:graphicFrameLocks noChangeAspect="1"/>
                  </wp:cNvGraphicFramePr>
                  <a:graphic>
                    <a:graphicData uri="http://schemas.openxmlformats.org/drawingml/2006/picture">
                      <pic:pic>
                        <pic:nvPicPr>
                          <pic:cNvPr id="0" name="anomaly_isolation_forest.png"/>
                          <pic:cNvPicPr/>
                        </pic:nvPicPr>
                        <pic:blipFill>
                          <a:blip r:embed="rId11"/>
                          <a:stretch>
                            <a:fillRect/>
                          </a:stretch>
                        </pic:blipFill>
                        <pic:spPr>
                          <a:xfrm>
                            <a:off x="0" y="0"/>
                            <a:ext cx="3218688" cy="1005840"/>
                          </a:xfrm>
                          <a:prstGeom prst="rect"/>
                        </pic:spPr>
                      </pic:pic>
                    </a:graphicData>
                  </a:graphic>
                </wp:inline>
              </w:drawing>
            </w:r>
          </w:p>
          <w:p>
            <w:pPr>
              <w:spacing w:after="120"/>
              <w:jc w:val="center"/>
            </w:pPr>
            <w:r>
              <w:rPr>
                <w:i/>
                <w:color w:val="646464"/>
                <w:sz w:val="20"/>
              </w:rPr>
              <w:t>Fig 3: Unforeseen Order Spikes</w:t>
            </w:r>
          </w:p>
        </w:tc>
        <w:tc>
          <w:tcPr>
            <w:tcW w:type="dxa" w:w="5089"/>
          </w:tcPr>
          <w:p>
            <w:pPr>
              <w:spacing w:after="80"/>
              <w:jc w:val="center"/>
            </w:pPr>
            <w:r>
              <w:drawing>
                <wp:inline xmlns:a="http://schemas.openxmlformats.org/drawingml/2006/main" xmlns:pic="http://schemas.openxmlformats.org/drawingml/2006/picture">
                  <wp:extent cx="3218688" cy="1609344"/>
                  <wp:docPr id="4" name="Picture 4"/>
                  <wp:cNvGraphicFramePr>
                    <a:graphicFrameLocks noChangeAspect="1"/>
                  </wp:cNvGraphicFramePr>
                  <a:graphic>
                    <a:graphicData uri="http://schemas.openxmlformats.org/drawingml/2006/picture">
                      <pic:pic>
                        <pic:nvPicPr>
                          <pic:cNvPr id="0" name="shipping_time_by_region.png"/>
                          <pic:cNvPicPr/>
                        </pic:nvPicPr>
                        <pic:blipFill>
                          <a:blip r:embed="rId12"/>
                          <a:stretch>
                            <a:fillRect/>
                          </a:stretch>
                        </pic:blipFill>
                        <pic:spPr>
                          <a:xfrm>
                            <a:off x="0" y="0"/>
                            <a:ext cx="3218688" cy="1609344"/>
                          </a:xfrm>
                          <a:prstGeom prst="rect"/>
                        </pic:spPr>
                      </pic:pic>
                    </a:graphicData>
                  </a:graphic>
                </wp:inline>
              </w:drawing>
            </w:r>
          </w:p>
          <w:p>
            <w:pPr>
              <w:spacing w:after="120"/>
              <w:jc w:val="center"/>
            </w:pPr>
            <w:r>
              <w:rPr>
                <w:i/>
                <w:color w:val="646464"/>
                <w:sz w:val="20"/>
              </w:rPr>
              <w:t>Fig 4: Shipping Delays Impacting Fulfillment</w:t>
            </w:r>
          </w:p>
        </w:tc>
      </w:tr>
    </w:tbl>
    <w:p>
      <w:pPr>
        <w:spacing w:after="200"/>
      </w:pPr>
    </w:p>
    <w:p>
      <w:pPr>
        <w:pStyle w:val="Heading1"/>
        <w:spacing w:before="280" w:after="40"/>
      </w:pPr>
      <w:r>
        <w:rPr>
          <w:b/>
          <w:color w:val="1E3C72"/>
          <w:sz w:val="30"/>
        </w:rPr>
        <w:t>5. Product Demand Segmentation &amp; Strategy</w:t>
      </w:r>
    </w:p>
    <w:p>
      <w:pPr>
        <w:spacing w:after="160" w:line="300" w:lineRule="auto"/>
      </w:pPr>
      <w:r>
        <w:rPr>
          <w:sz w:val="24"/>
        </w:rPr>
        <w:t>By analyzing product volume, order frequency, and volatility, we segmented inventory into four groups:</w:t>
      </w:r>
    </w:p>
    <w:tbl>
      <w:tblPr>
        <w:tblStyle w:val="TableGrid"/>
        <w:tblW w:type="auto" w:w="0"/>
        <w:jc w:val="center"/>
        <w:tblLook w:firstColumn="1" w:firstRow="1" w:lastColumn="0" w:lastRow="0" w:noHBand="0" w:noVBand="1" w:val="04A0"/>
      </w:tblPr>
      <w:tblGrid>
        <w:gridCol w:w="3393"/>
        <w:gridCol w:w="3393"/>
        <w:gridCol w:w="3393"/>
      </w:tblGrid>
      <w:tr>
        <w:tc>
          <w:tcPr>
            <w:tcW w:type="dxa" w:w="3393"/>
            <w:shd w:val="clear" w:color="auto" w:fill="2E4053"/>
          </w:tcPr>
          <w:p>
            <w:r>
              <w:rPr>
                <w:b/>
                <w:color w:val="FFFFFF"/>
                <w:sz w:val="22"/>
              </w:rPr>
              <w:t>Product Group</w:t>
            </w:r>
          </w:p>
        </w:tc>
        <w:tc>
          <w:tcPr>
            <w:tcW w:type="dxa" w:w="3393"/>
            <w:shd w:val="clear" w:color="auto" w:fill="2E4053"/>
          </w:tcPr>
          <w:p>
            <w:r>
              <w:rPr>
                <w:b/>
                <w:color w:val="FFFFFF"/>
                <w:sz w:val="22"/>
              </w:rPr>
              <w:t>Behavior</w:t>
            </w:r>
          </w:p>
        </w:tc>
        <w:tc>
          <w:tcPr>
            <w:tcW w:type="dxa" w:w="3393"/>
            <w:shd w:val="clear" w:color="auto" w:fill="2E4053"/>
          </w:tcPr>
          <w:p>
            <w:r>
              <w:rPr>
                <w:b/>
                <w:color w:val="FFFFFF"/>
                <w:sz w:val="22"/>
              </w:rPr>
              <w:t>Recommended Stocking Strategy</w:t>
            </w:r>
          </w:p>
        </w:tc>
      </w:tr>
      <w:tr>
        <w:tc>
          <w:tcPr>
            <w:tcW w:type="dxa" w:w="3393"/>
            <w:shd w:val="clear" w:color="auto" w:fill="D5F5E3"/>
          </w:tcPr>
          <w:p>
            <w:r>
              <w:rPr>
                <w:b/>
                <w:sz w:val="22"/>
              </w:rPr>
              <w:t>Stable High-Volume</w:t>
              <w:br/>
              <w:t>(Paper, Binders)</w:t>
            </w:r>
          </w:p>
        </w:tc>
        <w:tc>
          <w:tcPr>
            <w:tcW w:type="dxa" w:w="3393"/>
            <w:shd w:val="clear" w:color="auto" w:fill="D5F5E3"/>
          </w:tcPr>
          <w:p>
            <w:r>
              <w:rPr>
                <w:sz w:val="22"/>
              </w:rPr>
              <w:t>Sells constantly. Low variance.</w:t>
            </w:r>
          </w:p>
        </w:tc>
        <w:tc>
          <w:tcPr>
            <w:tcW w:type="dxa" w:w="3393"/>
            <w:shd w:val="clear" w:color="auto" w:fill="D5F5E3"/>
          </w:tcPr>
          <w:p>
            <w:r>
              <w:rPr>
                <w:sz w:val="22"/>
              </w:rPr>
              <w:t>Maintain deep safety stock. Automate re-ordering.</w:t>
            </w:r>
          </w:p>
        </w:tc>
      </w:tr>
      <w:tr>
        <w:tc>
          <w:tcPr>
            <w:tcW w:type="dxa" w:w="3393"/>
            <w:shd w:val="clear" w:color="auto" w:fill="D6EAF8"/>
          </w:tcPr>
          <w:p>
            <w:r>
              <w:rPr>
                <w:b/>
                <w:sz w:val="22"/>
              </w:rPr>
              <w:t>Low-Freq High-Value</w:t>
              <w:br/>
              <w:t>(Copiers, Machines)</w:t>
            </w:r>
          </w:p>
        </w:tc>
        <w:tc>
          <w:tcPr>
            <w:tcW w:type="dxa" w:w="3393"/>
            <w:shd w:val="clear" w:color="auto" w:fill="D6EAF8"/>
          </w:tcPr>
          <w:p>
            <w:r>
              <w:rPr>
                <w:sz w:val="22"/>
              </w:rPr>
              <w:t>Sells rarely, but huge margins.</w:t>
            </w:r>
          </w:p>
        </w:tc>
        <w:tc>
          <w:tcPr>
            <w:tcW w:type="dxa" w:w="3393"/>
            <w:shd w:val="clear" w:color="auto" w:fill="D6EAF8"/>
          </w:tcPr>
          <w:p>
            <w:r>
              <w:rPr>
                <w:sz w:val="22"/>
              </w:rPr>
              <w:t>Hold moderate stock. Negotiate faster supplier lead times.</w:t>
            </w:r>
          </w:p>
        </w:tc>
      </w:tr>
      <w:tr>
        <w:tc>
          <w:tcPr>
            <w:tcW w:type="dxa" w:w="3393"/>
            <w:shd w:val="clear" w:color="auto" w:fill="FEF9E7"/>
          </w:tcPr>
          <w:p>
            <w:r>
              <w:rPr>
                <w:b/>
                <w:sz w:val="22"/>
              </w:rPr>
              <w:t>Growing Demand</w:t>
              <w:br/>
              <w:t>(Accessories, Labels)</w:t>
            </w:r>
          </w:p>
        </w:tc>
        <w:tc>
          <w:tcPr>
            <w:tcW w:type="dxa" w:w="3393"/>
            <w:shd w:val="clear" w:color="auto" w:fill="FEF9E7"/>
          </w:tcPr>
          <w:p>
            <w:r>
              <w:rPr>
                <w:sz w:val="22"/>
              </w:rPr>
              <w:t>Demand is steadily rising.</w:t>
            </w:r>
          </w:p>
        </w:tc>
        <w:tc>
          <w:tcPr>
            <w:tcW w:type="dxa" w:w="3393"/>
            <w:shd w:val="clear" w:color="auto" w:fill="FEF9E7"/>
          </w:tcPr>
          <w:p>
            <w:r>
              <w:rPr>
                <w:sz w:val="22"/>
              </w:rPr>
              <w:t>Increase quarterly order sizes proactively.</w:t>
            </w:r>
          </w:p>
        </w:tc>
      </w:tr>
      <w:tr>
        <w:tc>
          <w:tcPr>
            <w:tcW w:type="dxa" w:w="3393"/>
            <w:shd w:val="clear" w:color="auto" w:fill="FDEDEC"/>
          </w:tcPr>
          <w:p>
            <w:r>
              <w:rPr>
                <w:b/>
                <w:sz w:val="22"/>
              </w:rPr>
              <w:t>Volatile / Declining</w:t>
              <w:br/>
              <w:t>(Tables, Supplies)</w:t>
            </w:r>
          </w:p>
        </w:tc>
        <w:tc>
          <w:tcPr>
            <w:tcW w:type="dxa" w:w="3393"/>
            <w:shd w:val="clear" w:color="auto" w:fill="FDEDEC"/>
          </w:tcPr>
          <w:p>
            <w:r>
              <w:rPr>
                <w:sz w:val="22"/>
              </w:rPr>
              <w:t>Erratic demand, tying up cash.</w:t>
            </w:r>
          </w:p>
        </w:tc>
        <w:tc>
          <w:tcPr>
            <w:tcW w:type="dxa" w:w="3393"/>
            <w:shd w:val="clear" w:color="auto" w:fill="FDEDEC"/>
          </w:tcPr>
          <w:p>
            <w:r>
              <w:rPr>
                <w:sz w:val="22"/>
              </w:rPr>
              <w:t>Shift to Just-In-Time ordering to free up warehouse space.</w:t>
            </w:r>
          </w:p>
        </w:tc>
      </w:tr>
    </w:tbl>
    <w:p>
      <w:pPr>
        <w:spacing w:after="240"/>
      </w:pPr>
    </w:p>
    <w:p>
      <w:pPr>
        <w:pStyle w:val="Heading1"/>
        <w:spacing w:before="120" w:after="40"/>
      </w:pPr>
      <w:r>
        <w:rPr>
          <w:b/>
          <w:color w:val="1E3C72"/>
          <w:sz w:val="30"/>
        </w:rPr>
        <w:t>6. Concrete Business Recommendations</w:t>
      </w:r>
    </w:p>
    <w:p>
      <w:pPr>
        <w:pStyle w:val="ListBullet"/>
        <w:spacing w:after="120" w:line="300" w:lineRule="auto"/>
      </w:pPr>
      <w:r>
        <w:rPr>
          <w:b/>
        </w:rPr>
        <w:t xml:space="preserve">1. Pre-Stock Technology for Q4: </w:t>
      </w:r>
      <w:r>
        <w:rPr>
          <w:sz w:val="24"/>
        </w:rPr>
        <w:t>Nov/Dec generate 40-60% above average revenue. Increase Q4 Purchase Orders for Technology by 35% before Oct 1st to prevent stockouts.</w:t>
      </w:r>
    </w:p>
    <w:p>
      <w:pPr>
        <w:pStyle w:val="ListBullet"/>
        <w:spacing w:after="120" w:line="300" w:lineRule="auto"/>
      </w:pPr>
      <w:r>
        <w:rPr>
          <w:b/>
        </w:rPr>
        <w:t xml:space="preserve">2. Implement Automated Shock Alerts: </w:t>
      </w:r>
      <w:r>
        <w:rPr>
          <w:sz w:val="24"/>
        </w:rPr>
        <w:t>Deploy an automated weekly alert flagging the supply chain team if order velocity deviates 1.5x from expected, buying 5-7 days of reaction time.</w:t>
      </w:r>
    </w:p>
    <w:p>
      <w:pPr>
        <w:pStyle w:val="ListBullet"/>
        <w:spacing w:after="120" w:line="300" w:lineRule="auto"/>
      </w:pPr>
      <w:r>
        <w:rPr>
          <w:b/>
        </w:rPr>
        <w:t xml:space="preserve">3. Shift Volatile Goods to Just-In-Time: </w:t>
      </w:r>
      <w:r>
        <w:rPr>
          <w:sz w:val="24"/>
        </w:rPr>
        <w:t>Move volatile SKUs (like Tables) to a Just-In-Time fulfillment model, reserving premium warehouse space for high-volume runners.</w:t>
      </w:r>
    </w:p>
    <w:p>
      <w:pPr>
        <w:spacing w:after="160"/>
      </w:pPr>
    </w:p>
    <w:p>
      <w:pPr>
        <w:pStyle w:val="Heading1"/>
        <w:spacing w:before="280" w:after="40"/>
      </w:pPr>
      <w:r>
        <w:rPr>
          <w:b/>
          <w:color w:val="1E3C72"/>
          <w:sz w:val="30"/>
        </w:rPr>
        <w:t>7. System Risk &amp; Limitation</w:t>
      </w:r>
    </w:p>
    <w:tbl>
      <w:tblPr>
        <w:tblW w:type="auto" w:w="0"/>
        <w:jc w:val="center"/>
        <w:tblLook w:firstColumn="1" w:firstRow="1" w:lastColumn="0" w:lastRow="0" w:noHBand="0" w:noVBand="1" w:val="04A0"/>
      </w:tblPr>
      <w:tblGrid>
        <w:gridCol w:w="10178"/>
      </w:tblGrid>
      <w:tr>
        <w:tc>
          <w:tcPr>
            <w:tcW w:type="dxa" w:w="10178"/>
            <w:shd w:val="clear" w:color="auto" w:fill="FEF9E7"/>
          </w:tcPr>
          <w:p>
            <w:pPr>
              <w:spacing w:before="160" w:after="160"/>
              <w:ind w:left="170" w:right="170"/>
            </w:pPr>
            <w:r>
              <w:rPr>
                <w:i/>
                <w:color w:val="785000"/>
                <w:sz w:val="24"/>
              </w:rPr>
              <w:t>Risk factor: Models rely entirely on historical data and cannot predict macroeconomic shocks or supply chain breakdowns. Combine forecasts with real-time operational context.</w:t>
            </w:r>
          </w:p>
        </w:tc>
      </w:tr>
    </w:tbl>
    <w:p>
      <w:pPr>
        <w:spacing w:after="240"/>
      </w:pPr>
    </w:p>
    <w:sectPr w:rsidR="00FC693F" w:rsidRPr="0006063C" w:rsidSect="00034616">
      <w:pgSz w:w="11906" w:h="16838"/>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