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Lawyer's Brief for Respondent in Cyber Dispute</w:t>
      </w:r>
    </w:p>
    <w:p>
      <w:r>
        <w:t>### Introduction</w:t>
      </w:r>
    </w:p>
    <w:p>
      <w:r>
        <w:t>The respondent is accused of being involved in a cyber dispute involving a phishing call, unauthorized sharing of OTP, and an unauthorized transaction. This brief outlines the key facts, relevant law sections, and the relief sought by the respondent.</w:t>
      </w:r>
    </w:p>
    <w:p/>
    <w:p>
      <w:r>
        <w:t>### Facts</w:t>
      </w:r>
    </w:p>
    <w:p>
      <w:r>
        <w:t>1. **Phishing Call**: The respondent allegedly made a phishing call to the complainant.</w:t>
      </w:r>
    </w:p>
    <w:p>
      <w:r>
        <w:t>2. **OTP Shared**: The complainant shared their OTP with the respondent.</w:t>
      </w:r>
    </w:p>
    <w:p>
      <w:r>
        <w:t>3. **Unauthorized Transaction**: An unauthorized transaction was made using the complainant's account.</w:t>
      </w:r>
    </w:p>
    <w:p/>
    <w:p>
      <w:r>
        <w:t>### Law Sections</w:t>
      </w:r>
    </w:p>
    <w:p>
      <w:r>
        <w:t>* Section 43 of the Information Technology Act, 2000 (IT Act) - Imposes penalties for unauthorized access to computer systems.</w:t>
      </w:r>
    </w:p>
    <w:p>
      <w:r>
        <w:t>* Section 66 of the IT Act - Provides for punishment for computer-related offenses, including hacking.</w:t>
      </w:r>
    </w:p>
    <w:p>
      <w:r>
        <w:t>* Section 66D of the IT Act - Deals with punishment for cheating by personation by using computer resource.</w:t>
      </w:r>
    </w:p>
    <w:p/>
    <w:p>
      <w:r>
        <w:t>### Relief</w:t>
      </w:r>
    </w:p>
    <w:p>
      <w:r>
        <w:t>The respondent seeks the following relief:</w:t>
      </w:r>
    </w:p>
    <w:p>
      <w:r>
        <w:t>* Refund of the unauthorized transaction amount.</w:t>
      </w:r>
    </w:p>
    <w:p>
      <w:r>
        <w:t>* Compensation for the mental agony and distress caused to the respondent due to the dispute.</w:t>
      </w:r>
    </w:p>
    <w:p/>
    <w:p>
      <w:r>
        <w:t>### Conclusion</w:t>
      </w:r>
    </w:p>
    <w:p>
      <w:r>
        <w:t>The respondent requests that the court consider the facts and law sections outlined above and grant the relief sought. It is essential to conduct a thorough investigation to determine the respondent's involvement in the alleged cyber dispute.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