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# LEGAL NOTICE</w:t>
      </w:r>
    </w:p>
    <w:p>
      <w:r>
        <w:t xml:space="preserve">   Subject: Legal Notice</w:t>
      </w:r>
    </w:p>
    <w:p/>
    <w:p>
      <w:r>
        <w:t xml:space="preserve">   ## Facts of the Case:</w:t>
      </w:r>
    </w:p>
    <w:p>
      <w:r>
        <w:t xml:space="preserve">   1. OTP sharing</w:t>
      </w:r>
    </w:p>
    <w:p>
      <w:r>
        <w:t xml:space="preserve">   2. Unauthorised transaction</w:t>
      </w:r>
    </w:p>
    <w:p/>
    <w:p>
      <w:r>
        <w:t xml:space="preserve">   ## Applicable Laws:</w:t>
      </w:r>
    </w:p>
    <w:p>
      <w:r>
        <w:t xml:space="preserve">   The Transfer of Property Act, 1882, specifically Sections 43 and 118, are applicable in this case.</w:t>
      </w:r>
    </w:p>
    <w:p/>
    <w:p>
      <w:r>
        <w:t xml:space="preserve">   ## Requested Action:</w:t>
      </w:r>
    </w:p>
    <w:p>
      <w:r>
        <w:t xml:space="preserve">   The respondent is requested to refund the unauthorised transaction amount and provide compensation for the loss incurred by the complainant.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>
      <w:r>
        <w:t xml:space="preserve">   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