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property in question is an ancestral property.</w:t>
      </w:r>
    </w:p>
    <w:p>
      <w:r>
        <w:t xml:space="preserve">   2. The complainant's father has passed away.</w:t>
      </w:r>
    </w:p>
    <w:p>
      <w:r>
        <w:t xml:space="preserve">   3. The respondent, who is the brother of the complainant, has refused to give the complainant their share of the property.</w:t>
      </w:r>
    </w:p>
    <w:p/>
    <w:p>
      <w:r>
        <w:t xml:space="preserve">   Applicable Laws:</w:t>
      </w:r>
    </w:p>
    <w:p>
      <w:r>
        <w:t xml:space="preserve">   The Transfer of Property Act, 1882 (Sections 1, 24, and 129) and the BNS Act, 2023 (Section 315) and the BNSS Act, 2023 (Section 435) are applicable in this case.</w:t>
      </w:r>
    </w:p>
    <w:p/>
    <w:p>
      <w:r>
        <w:t xml:space="preserve">   Requested Action:</w:t>
      </w:r>
    </w:p>
    <w:p>
      <w:r>
        <w:t xml:space="preserve">   The respondent is requested to provide the complainant with their rightful share in the ancestral property.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