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Arial" w:cs="Arial" w:eastAsia="Arial" w:hAnsi="Arial"/>
          <w:b/>
          <w:bCs/>
          <w:i w:val="false"/>
          <w:iCs w:val="false"/>
          <w:color w:val="1F3864"/>
          <w:sz w:val="30"/>
          <w:szCs w:val="30"/>
        </w:rPr>
        <w:t xml:space="preserve">Risk Taxonomy for the 41 CUAD Clause Types</w:t>
      </w:r>
    </w:p>
    <w:p>
      <w:pPr>
        <w:spacing w:after="20"/>
        <w:jc w:val="center"/>
      </w:pPr>
      <w:r>
        <w:rPr>
          <w:rFonts w:ascii="Arial" w:cs="Arial" w:eastAsia="Arial" w:hAnsi="Arial"/>
          <w:b/>
          <w:bCs/>
          <w:i w:val="false"/>
          <w:iCs w:val="false"/>
          <w:color w:val="000000"/>
          <w:sz w:val="20"/>
          <w:szCs w:val="20"/>
        </w:rPr>
        <w:t xml:space="preserve">Design Document — Person 2 (Risk Classification)</w:t>
      </w:r>
    </w:p>
    <w:p>
      <w:pPr>
        <w:spacing w:after="160"/>
        <w:jc w:val="center"/>
      </w:pPr>
      <w:r>
        <w:rPr>
          <w:rFonts w:ascii="Arial" w:cs="Arial" w:eastAsia="Arial" w:hAnsi="Arial"/>
          <w:b w:val="false"/>
          <w:bCs w:val="false"/>
          <w:i w:val="false"/>
          <w:iCs w:val="false"/>
          <w:color w:val="595959"/>
          <w:sz w:val="16"/>
          <w:szCs w:val="16"/>
        </w:rPr>
        <w:t xml:space="preserve">Afnan Mazumdar (24141229)  |  AI-Powered Legal Document Analysis System (CUAD)  |  BRAC University</w:t>
      </w:r>
    </w:p>
    <w:p>
      <w:pPr>
        <w:pBdr>
          <w:bottom w:val="single" w:color="1F3864" w:sz="6" w:space="1"/>
        </w:pBdr>
        <w:spacing w:after="120"/>
      </w:pPr>
    </w:p>
    <w:p>
      <w:pPr>
        <w:pStyle w:val="Heading1"/>
        <w:spacing w:after="120"/>
      </w:pPr>
      <w:r>
        <w:rPr>
          <w:rFonts w:ascii="Arial" w:cs="Arial" w:eastAsia="Arial" w:hAnsi="Arial"/>
          <w:b/>
          <w:bCs/>
          <w:i w:val="false"/>
          <w:iCs w:val="false"/>
          <w:color w:val="1F3864"/>
          <w:sz w:val="24"/>
          <w:szCs w:val="24"/>
        </w:rPr>
        <w:t xml:space="preserve">1. What this layer adds, and whose side we score from</w:t>
      </w:r>
    </w:p>
    <w:p>
      <w:pPr>
        <w:spacing w:after="120"/>
      </w:pPr>
      <w:r>
        <w:rPr>
          <w:rFonts w:ascii="Arial" w:cs="Arial" w:eastAsia="Arial" w:hAnsi="Arial"/>
          <w:b w:val="false"/>
          <w:bCs w:val="false"/>
          <w:i w:val="false"/>
          <w:iCs w:val="false"/>
          <w:color w:val="000000"/>
          <w:sz w:val="20"/>
          <w:szCs w:val="20"/>
        </w:rPr>
        <w:t xml:space="preserve">On its own, CUAD only tells you whether a clause is in a contract. That's useful, but it doesn't tell you whether the clause is something to worry about. This risk layer adds that second judgement: for every clause we detect, how much trouble could it cause the person signing? To keep the scoring consistent I always look at it from the point of view of the weaker party — usually a small business, a freelancer or an individual rather than a big company with its own legal team. The question I keep asking for each clause is simple: if I signed this without negotiating it, how badly could it come back to bite me?</w:t>
      </w:r>
    </w:p>
    <w:p>
      <w:pPr>
        <w:pStyle w:val="Heading1"/>
        <w:spacing w:after="120"/>
      </w:pPr>
      <w:r>
        <w:rPr>
          <w:rFonts w:ascii="Arial" w:cs="Arial" w:eastAsia="Arial" w:hAnsi="Arial"/>
          <w:b/>
          <w:bCs/>
          <w:i w:val="false"/>
          <w:iCs w:val="false"/>
          <w:color w:val="1F3864"/>
          <w:sz w:val="24"/>
          <w:szCs w:val="24"/>
        </w:rPr>
        <w:t xml:space="preserve">2. The three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Level</w:t>
            </w:r>
          </w:p>
        </w:tc>
        <w:tc>
          <w:tcPr>
            <w:tcW w:type="dxa" w:w="786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What puts a clause here</w:t>
            </w:r>
          </w:p>
        </w:tc>
      </w:tr>
      <w:tr>
        <w:tc>
          <w:tcPr>
            <w:tcW w:type="dxa" w:w="1500"/>
            <w:tcBorders>
              <w:top w:val="single" w:color="BFBFBF" w:sz="1"/>
              <w:left w:val="single" w:color="BFBFBF" w:sz="1"/>
              <w:bottom w:val="single" w:color="BFBFBF" w:sz="1"/>
              <w:right w:val="single" w:color="BFBFBF" w:sz="1"/>
            </w:tcBorders>
            <w:shd w:fill="F8CBAD" w:val="clear"/>
            <w:tcMar>
              <w:top w:type="dxa" w:w="60"/>
              <w:left w:type="dxa" w:w="100"/>
              <w:bottom w:type="dxa" w:w="60"/>
              <w:right w:type="dxa" w:w="100"/>
            </w:tcMar>
          </w:tcPr>
          <w:p>
            <w:pPr>
              <w:spacing w:after="0"/>
            </w:pPr>
            <w:r>
              <w:rPr>
                <w:rFonts w:ascii="Arial" w:cs="Arial" w:eastAsia="Arial" w:hAnsi="Arial"/>
                <w:b/>
                <w:bCs/>
                <w:color w:val="843C0C"/>
                <w:sz w:val="18"/>
                <w:szCs w:val="18"/>
              </w:rPr>
              <w:t xml:space="preserve">HIGH</w:t>
            </w:r>
          </w:p>
        </w:tc>
        <w:tc>
          <w:tcPr>
            <w:tcW w:type="dxa" w:w="78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b w:val="false"/>
                <w:bCs w:val="false"/>
                <w:color w:val="000000"/>
                <w:sz w:val="18"/>
                <w:szCs w:val="18"/>
              </w:rPr>
              <w:t xml:space="preserve">Big, direct, or hard-to-undo damage — unlimited or fixed money you could owe, losing a core asset like your IP for good, or being shut out of future work. These really need a second look or a lawyer before signing.</w:t>
            </w:r>
          </w:p>
        </w:tc>
      </w:tr>
      <w:tr>
        <w:tc>
          <w:tcPr>
            <w:tcW w:type="dxa" w:w="150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pPr>
            <w:r>
              <w:rPr>
                <w:rFonts w:ascii="Arial" w:cs="Arial" w:eastAsia="Arial" w:hAnsi="Arial"/>
                <w:b/>
                <w:bCs/>
                <w:color w:val="7F6000"/>
                <w:sz w:val="18"/>
                <w:szCs w:val="18"/>
              </w:rPr>
              <w:t xml:space="preserve">MEDIUM</w:t>
            </w:r>
          </w:p>
        </w:tc>
        <w:tc>
          <w:tcPr>
            <w:tcW w:type="dxa" w:w="78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b w:val="false"/>
                <w:bCs w:val="false"/>
                <w:color w:val="000000"/>
                <w:sz w:val="18"/>
                <w:szCs w:val="18"/>
              </w:rPr>
              <w:t xml:space="preserve">Serious but livable — real obligations or limits you can accept once you understand them, sometimes after a bit of negotiation or advice.</w:t>
            </w:r>
          </w:p>
        </w:tc>
      </w:tr>
      <w:tr>
        <w:tc>
          <w:tcPr>
            <w:tcW w:type="dxa" w:w="1500"/>
            <w:tcBorders>
              <w:top w:val="single" w:color="BFBFBF" w:sz="1"/>
              <w:left w:val="single" w:color="BFBFBF" w:sz="1"/>
              <w:bottom w:val="single" w:color="BFBFBF" w:sz="1"/>
              <w:right w:val="single" w:color="BFBFBF" w:sz="1"/>
            </w:tcBorders>
            <w:shd w:fill="C6E0B4" w:val="clear"/>
            <w:tcMar>
              <w:top w:type="dxa" w:w="60"/>
              <w:left w:type="dxa" w:w="100"/>
              <w:bottom w:type="dxa" w:w="60"/>
              <w:right w:type="dxa" w:w="100"/>
            </w:tcMar>
          </w:tcPr>
          <w:p>
            <w:pPr>
              <w:spacing w:after="0"/>
            </w:pPr>
            <w:r>
              <w:rPr>
                <w:rFonts w:ascii="Arial" w:cs="Arial" w:eastAsia="Arial" w:hAnsi="Arial"/>
                <w:b/>
                <w:bCs/>
                <w:color w:val="375623"/>
                <w:sz w:val="18"/>
                <w:szCs w:val="18"/>
              </w:rPr>
              <w:t xml:space="preserve">LOW</w:t>
            </w:r>
          </w:p>
        </w:tc>
        <w:tc>
          <w:tcPr>
            <w:tcW w:type="dxa" w:w="78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b w:val="false"/>
                <w:bCs w:val="false"/>
                <w:color w:val="000000"/>
                <w:sz w:val="18"/>
                <w:szCs w:val="18"/>
              </w:rPr>
              <w:t xml:space="preserve">Standard or just informational — names, dates, and routine terms you should be aware of but that rarely cause a fight on their own.</w:t>
            </w:r>
          </w:p>
        </w:tc>
      </w:tr>
    </w:tbl>
    <w:p>
      <w:pPr>
        <w:pStyle w:val="Heading1"/>
        <w:spacing w:after="120"/>
      </w:pPr>
      <w:r>
        <w:rPr>
          <w:rFonts w:ascii="Arial" w:cs="Arial" w:eastAsia="Arial" w:hAnsi="Arial"/>
          <w:b/>
          <w:bCs/>
          <w:i w:val="false"/>
          <w:iCs w:val="false"/>
          <w:color w:val="1F3864"/>
          <w:sz w:val="24"/>
          <w:szCs w:val="24"/>
        </w:rPr>
        <w:t xml:space="preserve">3. Why some clauses end up High</w:t>
      </w:r>
    </w:p>
    <w:p>
      <w:pPr>
        <w:spacing w:after="40"/>
      </w:pPr>
      <w:r>
        <w:rPr>
          <w:rFonts w:ascii="Arial" w:cs="Arial" w:eastAsia="Arial" w:hAnsi="Arial"/>
          <w:b w:val="false"/>
          <w:bCs w:val="false"/>
          <w:i w:val="false"/>
          <w:iCs w:val="false"/>
          <w:color w:val="000000"/>
          <w:sz w:val="20"/>
          <w:szCs w:val="20"/>
        </w:rPr>
        <w:t xml:space="preserve">Eight of the 41 clauses are scored High. They tend to fall into three buckets:</w:t>
      </w:r>
    </w:p>
    <w:p>
      <w:pPr>
        <w:pStyle w:val="ListParagraph"/>
        <w:numPr>
          <w:ilvl w:val="0"/>
          <w:numId w:val="2"/>
        </w:numPr>
        <w:spacing w:after="40"/>
      </w:pPr>
      <w:r>
        <w:rPr>
          <w:rFonts w:ascii="Arial" w:cs="Arial" w:eastAsia="Arial" w:hAnsi="Arial"/>
          <w:b/>
          <w:bCs/>
          <w:i w:val="false"/>
          <w:iCs w:val="false"/>
          <w:color w:val="000000"/>
          <w:sz w:val="20"/>
          <w:szCs w:val="20"/>
        </w:rPr>
        <w:t xml:space="preserve">Money you could be on the hook for — </w:t>
      </w:r>
      <w:r>
        <w:rPr>
          <w:rFonts w:ascii="Arial" w:cs="Arial" w:eastAsia="Arial" w:hAnsi="Arial"/>
          <w:b w:val="false"/>
          <w:bCs w:val="false"/>
          <w:i w:val="false"/>
          <w:iCs w:val="false"/>
          <w:color w:val="000000"/>
          <w:sz w:val="20"/>
          <w:szCs w:val="20"/>
        </w:rPr>
        <w:t xml:space="preserve">Uncapped Liability, Liquidated Damages, Revenue/Profit Sharing and Minimum Commitment all put real money at risk, and once they kick in they're hard to walk back.</w:t>
      </w:r>
    </w:p>
    <w:p>
      <w:pPr>
        <w:pStyle w:val="ListParagraph"/>
        <w:numPr>
          <w:ilvl w:val="0"/>
          <w:numId w:val="2"/>
        </w:numPr>
        <w:spacing w:after="40"/>
      </w:pPr>
      <w:r>
        <w:rPr>
          <w:rFonts w:ascii="Arial" w:cs="Arial" w:eastAsia="Arial" w:hAnsi="Arial"/>
          <w:b/>
          <w:bCs/>
          <w:i w:val="false"/>
          <w:iCs w:val="false"/>
          <w:color w:val="000000"/>
          <w:sz w:val="20"/>
          <w:szCs w:val="20"/>
        </w:rPr>
        <w:t xml:space="preserve">Losing something you can't get back — </w:t>
      </w:r>
      <w:r>
        <w:rPr>
          <w:rFonts w:ascii="Arial" w:cs="Arial" w:eastAsia="Arial" w:hAnsi="Arial"/>
          <w:b w:val="false"/>
          <w:bCs w:val="false"/>
          <w:i w:val="false"/>
          <w:iCs w:val="false"/>
          <w:color w:val="000000"/>
          <w:sz w:val="20"/>
          <w:szCs w:val="20"/>
        </w:rPr>
        <w:t xml:space="preserve">IP Ownership Assignment and an Irrevocable or Perpetual License hand over intellectual property that is often the most valuable thing a small party owns, with little hope of recovering it.</w:t>
      </w:r>
    </w:p>
    <w:p>
      <w:pPr>
        <w:pStyle w:val="ListParagraph"/>
        <w:numPr>
          <w:ilvl w:val="0"/>
          <w:numId w:val="2"/>
        </w:numPr>
        <w:spacing w:after="40"/>
      </w:pPr>
      <w:r>
        <w:rPr>
          <w:rFonts w:ascii="Arial" w:cs="Arial" w:eastAsia="Arial" w:hAnsi="Arial"/>
          <w:b/>
          <w:bCs/>
          <w:i w:val="false"/>
          <w:iCs w:val="false"/>
          <w:color w:val="000000"/>
          <w:sz w:val="20"/>
          <w:szCs w:val="20"/>
        </w:rPr>
        <w:t xml:space="preserve">Losing the freedom to earn later — </w:t>
      </w:r>
      <w:r>
        <w:rPr>
          <w:rFonts w:ascii="Arial" w:cs="Arial" w:eastAsia="Arial" w:hAnsi="Arial"/>
          <w:b w:val="false"/>
          <w:bCs w:val="false"/>
          <w:i w:val="false"/>
          <w:iCs w:val="false"/>
          <w:color w:val="000000"/>
          <w:sz w:val="20"/>
          <w:szCs w:val="20"/>
        </w:rPr>
        <w:t xml:space="preserve">Non-Compete and Exclusivity control who you're allowed to work with or compete against, which directly limits future income and ties you to one partner.</w:t>
      </w:r>
    </w:p>
    <w:p>
      <w:pPr>
        <w:pStyle w:val="Heading1"/>
        <w:spacing w:after="120"/>
      </w:pPr>
      <w:r>
        <w:rPr>
          <w:rFonts w:ascii="Arial" w:cs="Arial" w:eastAsia="Arial" w:hAnsi="Arial"/>
          <w:b/>
          <w:bCs/>
          <w:i w:val="false"/>
          <w:iCs w:val="false"/>
          <w:color w:val="1F3864"/>
          <w:sz w:val="24"/>
          <w:szCs w:val="24"/>
        </w:rPr>
        <w:t xml:space="preserve">4. The tricky calls, and the final split</w:t>
      </w:r>
    </w:p>
    <w:p>
      <w:pPr>
        <w:spacing w:after="60"/>
      </w:pPr>
      <w:r>
        <w:rPr>
          <w:rFonts w:ascii="Arial" w:cs="Arial" w:eastAsia="Arial" w:hAnsi="Arial"/>
          <w:b w:val="false"/>
          <w:bCs w:val="false"/>
          <w:i w:val="false"/>
          <w:iCs w:val="false"/>
          <w:color w:val="000000"/>
          <w:sz w:val="20"/>
          <w:szCs w:val="20"/>
        </w:rPr>
        <w:t xml:space="preserve">A few clauses sit right on the line, so I scored them on their net effect to the signer. Cap on Liability is protective in theory, but I left it at Medium because a cap set too low can still leave you short-changed. The Competitive Restriction Exception is actually a carve-out that loosens other limits, so it's Low. Renewal Term and its notice period are Medium rather than Low, since missing the deadline quietly locks you into another term you didn't want. Adding it all up, the 41 clauses come out 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1"/>
              <w:left w:val="single" w:color="BFBFBF" w:sz="1"/>
              <w:bottom w:val="single" w:color="BFBFBF" w:sz="1"/>
              <w:right w:val="single" w:color="BFBFBF" w:sz="1"/>
            </w:tcBorders>
            <w:shd w:fill="F8CBAD" w:val="clear"/>
            <w:tcMar>
              <w:top w:type="dxa" w:w="60"/>
              <w:left w:type="dxa" w:w="100"/>
              <w:bottom w:type="dxa" w:w="60"/>
              <w:right w:type="dxa" w:w="100"/>
            </w:tcMar>
          </w:tcPr>
          <w:p>
            <w:pPr>
              <w:spacing w:after="0"/>
            </w:pPr>
            <w:r>
              <w:rPr>
                <w:rFonts w:ascii="Arial" w:cs="Arial" w:eastAsia="Arial" w:hAnsi="Arial"/>
                <w:b/>
                <w:bCs/>
                <w:color w:val="843C0C"/>
                <w:sz w:val="18"/>
                <w:szCs w:val="18"/>
              </w:rPr>
              <w:t xml:space="preserve">High</w:t>
            </w:r>
          </w:p>
        </w:tc>
        <w:tc>
          <w:tcPr>
            <w:tcW w:type="dxa" w:w="312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pPr>
            <w:r>
              <w:rPr>
                <w:rFonts w:ascii="Arial" w:cs="Arial" w:eastAsia="Arial" w:hAnsi="Arial"/>
                <w:b/>
                <w:bCs/>
                <w:color w:val="7F6000"/>
                <w:sz w:val="18"/>
                <w:szCs w:val="18"/>
              </w:rPr>
              <w:t xml:space="preserve">Medium</w:t>
            </w:r>
          </w:p>
        </w:tc>
        <w:tc>
          <w:tcPr>
            <w:tcW w:type="dxa" w:w="3120"/>
            <w:tcBorders>
              <w:top w:val="single" w:color="BFBFBF" w:sz="1"/>
              <w:left w:val="single" w:color="BFBFBF" w:sz="1"/>
              <w:bottom w:val="single" w:color="BFBFBF" w:sz="1"/>
              <w:right w:val="single" w:color="BFBFBF" w:sz="1"/>
            </w:tcBorders>
            <w:shd w:fill="C6E0B4" w:val="clear"/>
            <w:tcMar>
              <w:top w:type="dxa" w:w="60"/>
              <w:left w:type="dxa" w:w="100"/>
              <w:bottom w:type="dxa" w:w="60"/>
              <w:right w:type="dxa" w:w="100"/>
            </w:tcMar>
          </w:tcPr>
          <w:p>
            <w:pPr>
              <w:spacing w:after="0"/>
            </w:pPr>
            <w:r>
              <w:rPr>
                <w:rFonts w:ascii="Arial" w:cs="Arial" w:eastAsia="Arial" w:hAnsi="Arial"/>
                <w:b/>
                <w:bCs/>
                <w:color w:val="375623"/>
                <w:sz w:val="18"/>
                <w:szCs w:val="18"/>
              </w:rPr>
              <w:t xml:space="preserve">Low</w:t>
            </w:r>
          </w:p>
        </w:tc>
      </w:tr>
      <w:tr>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b w:val="false"/>
                <w:bCs w:val="false"/>
                <w:color w:val="000000"/>
                <w:sz w:val="18"/>
                <w:szCs w:val="18"/>
              </w:rPr>
              <w:t xml:space="preserve">8 clauses</w:t>
            </w:r>
          </w:p>
        </w:tc>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b w:val="false"/>
                <w:bCs w:val="false"/>
                <w:color w:val="000000"/>
                <w:sz w:val="18"/>
                <w:szCs w:val="18"/>
              </w:rPr>
              <w:t xml:space="preserve">22 clauses</w:t>
            </w:r>
          </w:p>
        </w:tc>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b w:val="false"/>
                <w:bCs w:val="false"/>
                <w:color w:val="000000"/>
                <w:sz w:val="18"/>
                <w:szCs w:val="18"/>
              </w:rPr>
              <w:t xml:space="preserve">11 clauses</w:t>
            </w:r>
          </w:p>
        </w:tc>
      </w:tr>
    </w:tbl>
    <w:p>
      <w:pPr>
        <w:spacing w:after="0"/>
      </w:pPr>
      <w:r>
        <w:rPr>
          <w:rFonts w:ascii="Arial" w:cs="Arial" w:eastAsia="Arial" w:hAnsi="Arial"/>
          <w:b w:val="false"/>
          <w:bCs w:val="false"/>
          <w:i/>
          <w:iCs/>
          <w:color w:val="595959"/>
          <w:sz w:val="18"/>
          <w:szCs w:val="18"/>
        </w:rPr>
        <w:t xml:space="preserve">The full clause-by-clause table, with a one-line reason for each, is in the spreadsheet that goes with this document (Risk_Classification_41_Clauses.xlsx / .csv).</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60"/>
      <w:outlineLvl w:val="0"/>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2026-06-06T11:59:03.459Z</dcterms:created>
  <dcterms:modified xsi:type="dcterms:W3CDTF">2026-06-06T11:59:03.459Z</dcterms:modified>
</cp:coreProperties>
</file>

<file path=docProps/custom.xml><?xml version="1.0" encoding="utf-8"?>
<Properties xmlns="http://schemas.openxmlformats.org/officeDocument/2006/custom-properties" xmlns:vt="http://schemas.openxmlformats.org/officeDocument/2006/docPropsVTypes"/>
</file>