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i w:val="false"/>
          <w:iCs w:val="false"/>
          <w:color w:val="1F3864"/>
          <w:sz w:val="30"/>
          <w:szCs w:val="30"/>
        </w:rPr>
        <w:t xml:space="preserve">Plain-Language Summarization &amp; Conflict Detection</w:t>
      </w:r>
    </w:p>
    <w:p>
      <w:pPr>
        <w:spacing w:after="20"/>
        <w:jc w:val="center"/>
      </w:pPr>
      <w:r>
        <w:rPr>
          <w:rFonts w:ascii="Arial" w:cs="Arial" w:eastAsia="Arial" w:hAnsi="Arial"/>
          <w:b/>
          <w:bCs/>
          <w:i w:val="false"/>
          <w:iCs w:val="false"/>
          <w:color w:val="000000"/>
          <w:sz w:val="20"/>
          <w:szCs w:val="20"/>
        </w:rPr>
        <w:t xml:space="preserve">Design Document — Person 3 (Summarization &amp; Conflict Detection)</w:t>
      </w:r>
    </w:p>
    <w:p>
      <w:pPr>
        <w:spacing w:after="160"/>
        <w:jc w:val="center"/>
      </w:pPr>
      <w:r>
        <w:rPr>
          <w:rFonts w:ascii="Arial" w:cs="Arial" w:eastAsia="Arial" w:hAnsi="Arial"/>
          <w:b w:val="false"/>
          <w:bCs w:val="false"/>
          <w:i w:val="false"/>
          <w:iCs w:val="false"/>
          <w:color w:val="595959"/>
          <w:sz w:val="16"/>
          <w:szCs w:val="16"/>
        </w:rPr>
        <w:t xml:space="preserve">Shoyeb Hasan Sayem (22101386)  |  AI-Powered Legal Document Analysis System (CUAD)  |  BRAC University</w:t>
      </w:r>
    </w:p>
    <w:p>
      <w:pPr>
        <w:pBdr>
          <w:bottom w:val="single" w:color="1F3864" w:sz="6" w:space="1"/>
        </w:pBdr>
        <w:spacing w:after="120"/>
      </w:pPr>
    </w:p>
    <w:p>
      <w:pPr>
        <w:pStyle w:val="Heading1"/>
        <w:spacing w:after="120"/>
      </w:pPr>
      <w:r>
        <w:rPr>
          <w:rFonts w:ascii="Arial" w:cs="Arial" w:eastAsia="Arial" w:hAnsi="Arial"/>
          <w:b/>
          <w:bCs/>
          <w:i w:val="false"/>
          <w:iCs w:val="false"/>
          <w:color w:val="1F3864"/>
          <w:sz w:val="24"/>
          <w:szCs w:val="24"/>
        </w:rPr>
        <w:t xml:space="preserve">Part A — Turning clauses into plain English (T5)</w:t>
      </w:r>
    </w:p>
    <w:p>
      <w:pPr>
        <w:spacing w:after="120"/>
      </w:pPr>
      <w:r>
        <w:rPr>
          <w:rFonts w:ascii="Arial" w:cs="Arial" w:eastAsia="Arial" w:hAnsi="Arial"/>
          <w:b/>
          <w:bCs/>
          <w:i w:val="false"/>
          <w:iCs w:val="false"/>
          <w:color w:val="000000"/>
          <w:sz w:val="20"/>
          <w:szCs w:val="20"/>
        </w:rPr>
        <w:t xml:space="preserve">What I'm trying to do. </w:t>
      </w:r>
      <w:r>
        <w:rPr>
          <w:rFonts w:ascii="Arial" w:cs="Arial" w:eastAsia="Arial" w:hAnsi="Arial"/>
          <w:b w:val="false"/>
          <w:bCs w:val="false"/>
          <w:i w:val="false"/>
          <w:iCs w:val="false"/>
          <w:color w:val="000000"/>
          <w:sz w:val="20"/>
          <w:szCs w:val="20"/>
        </w:rPr>
        <w:t xml:space="preserve">Once Stage 2 has pulled out a clause, my part takes that block of legal text and rewrites it as one plain sentence that a normal person can follow. For example, a non-compete that reads “…the Receiving Party shall not, for two (2) years… engage in any competing business…” should come out as “You can't work for or start a competing business for 2 years after this contract ends.”</w:t>
      </w:r>
    </w:p>
    <w:p>
      <w:pPr>
        <w:spacing w:after="120"/>
      </w:pPr>
      <w:r>
        <w:rPr>
          <w:rFonts w:ascii="Arial" w:cs="Arial" w:eastAsia="Arial" w:hAnsi="Arial"/>
          <w:b/>
          <w:bCs/>
          <w:i w:val="false"/>
          <w:iCs w:val="false"/>
          <w:color w:val="000000"/>
          <w:sz w:val="20"/>
          <w:szCs w:val="20"/>
        </w:rPr>
        <w:t xml:space="preserve">Why T5. </w:t>
      </w:r>
      <w:r>
        <w:rPr>
          <w:rFonts w:ascii="Arial" w:cs="Arial" w:eastAsia="Arial" w:hAnsi="Arial"/>
          <w:b w:val="false"/>
          <w:bCs w:val="false"/>
          <w:i w:val="false"/>
          <w:iCs w:val="false"/>
          <w:color w:val="000000"/>
          <w:sz w:val="20"/>
          <w:szCs w:val="20"/>
        </w:rPr>
        <w:t xml:space="preserve">T5 treats every task as “text in, text out,” which is exactly what we need — a clause goes in, a summary comes out. I'll start with the small version (t5-small) so I can iterate quickly on Colab, then move up to t5-base or FLAN-T5 for better wording. FLAN-T5 is handy because it already follows instructions, so even before any training I can give it “summarize in plain English: &lt;clause&gt;” and get a reasonable first draft to measure against.</w:t>
      </w:r>
    </w:p>
    <w:p>
      <w:pPr>
        <w:spacing w:after="120"/>
      </w:pPr>
      <w:r>
        <w:rPr>
          <w:rFonts w:ascii="Arial" w:cs="Arial" w:eastAsia="Arial" w:hAnsi="Arial"/>
          <w:b/>
          <w:bCs/>
          <w:i w:val="false"/>
          <w:iCs w:val="false"/>
          <w:color w:val="000000"/>
          <w:sz w:val="20"/>
          <w:szCs w:val="20"/>
        </w:rPr>
        <w:t xml:space="preserve">Where the training data comes from. </w:t>
      </w:r>
      <w:r>
        <w:rPr>
          <w:rFonts w:ascii="Arial" w:cs="Arial" w:eastAsia="Arial" w:hAnsi="Arial"/>
          <w:b w:val="false"/>
          <w:bCs w:val="false"/>
          <w:i w:val="false"/>
          <w:iCs w:val="false"/>
          <w:color w:val="000000"/>
          <w:sz w:val="20"/>
          <w:szCs w:val="20"/>
        </w:rPr>
        <w:t xml:space="preserve">Here's the catch: CUAD gives us the clauses but no plain-English versions to learn from. So I'll build that set myself. First I'll hand-write a few good summaries for each clause type as a gold standard, then use a larger model (like GPT) to draft more of them, and finally go through those drafts and fix them before training T5 on the cleaned-up pairs. Keeping a human in the loop matters here, because a wrong summary of a legal clause is worse than no summary.</w:t>
      </w:r>
    </w:p>
    <w:p>
      <w:pPr>
        <w:pStyle w:val="ListParagraph"/>
        <w:numPr>
          <w:ilvl w:val="0"/>
          <w:numId w:val="2"/>
        </w:numPr>
        <w:spacing w:after="40"/>
      </w:pPr>
      <w:r>
        <w:rPr>
          <w:rFonts w:ascii="Arial" w:cs="Arial" w:eastAsia="Arial" w:hAnsi="Arial"/>
          <w:b/>
          <w:bCs/>
          <w:i w:val="false"/>
          <w:iCs w:val="false"/>
          <w:color w:val="000000"/>
          <w:sz w:val="20"/>
          <w:szCs w:val="20"/>
        </w:rPr>
        <w:t xml:space="preserve">Running it: </w:t>
      </w:r>
      <w:r>
        <w:rPr>
          <w:rFonts w:ascii="Arial" w:cs="Arial" w:eastAsia="Arial" w:hAnsi="Arial"/>
          <w:b w:val="false"/>
          <w:bCs w:val="false"/>
          <w:i w:val="false"/>
          <w:iCs w:val="false"/>
          <w:color w:val="000000"/>
          <w:sz w:val="20"/>
          <w:szCs w:val="20"/>
        </w:rPr>
        <w:t xml:space="preserve">one clause at a time; anything longer than T5's 512-token limit gets trimmed to its most important opening text, and I cap the output so it stays a single sentence.</w:t>
      </w:r>
    </w:p>
    <w:p>
      <w:pPr>
        <w:pStyle w:val="ListParagraph"/>
        <w:numPr>
          <w:ilvl w:val="0"/>
          <w:numId w:val="2"/>
        </w:numPr>
        <w:spacing w:after="40"/>
      </w:pPr>
      <w:r>
        <w:rPr>
          <w:rFonts w:ascii="Arial" w:cs="Arial" w:eastAsia="Arial" w:hAnsi="Arial"/>
          <w:b/>
          <w:bCs/>
          <w:i w:val="false"/>
          <w:iCs w:val="false"/>
          <w:color w:val="000000"/>
          <w:sz w:val="20"/>
          <w:szCs w:val="20"/>
        </w:rPr>
        <w:t xml:space="preserve">Checking it: </w:t>
      </w:r>
      <w:r>
        <w:rPr>
          <w:rFonts w:ascii="Arial" w:cs="Arial" w:eastAsia="Arial" w:hAnsi="Arial"/>
          <w:b w:val="false"/>
          <w:bCs w:val="false"/>
          <w:i w:val="false"/>
          <w:iCs w:val="false"/>
          <w:color w:val="000000"/>
          <w:sz w:val="20"/>
          <w:szCs w:val="20"/>
        </w:rPr>
        <w:t xml:space="preserve">ROUGE-L against the reference summaries (we're aiming above 0.40), plus me actually reading a sample to confirm a non-lawyer would understand the obligation.</w:t>
      </w:r>
    </w:p>
    <w:p>
      <w:pPr>
        <w:pStyle w:val="ListParagraph"/>
        <w:numPr>
          <w:ilvl w:val="0"/>
          <w:numId w:val="2"/>
        </w:numPr>
        <w:spacing w:after="40"/>
      </w:pPr>
      <w:r>
        <w:rPr>
          <w:rFonts w:ascii="Arial" w:cs="Arial" w:eastAsia="Arial" w:hAnsi="Arial"/>
          <w:b/>
          <w:bCs/>
          <w:i w:val="false"/>
          <w:iCs w:val="false"/>
          <w:color w:val="000000"/>
          <w:sz w:val="20"/>
          <w:szCs w:val="20"/>
        </w:rPr>
        <w:t xml:space="preserve">Where it fits: </w:t>
      </w:r>
      <w:r>
        <w:rPr>
          <w:rFonts w:ascii="Arial" w:cs="Arial" w:eastAsia="Arial" w:hAnsi="Arial"/>
          <w:b w:val="false"/>
          <w:bCs w:val="false"/>
          <w:i w:val="false"/>
          <w:iCs w:val="false"/>
          <w:color w:val="000000"/>
          <w:sz w:val="20"/>
          <w:szCs w:val="20"/>
        </w:rPr>
        <w:t xml:space="preserve">this runs in Stage 3 next to the risk layer, so each clause ends up with both a risk badge (Afnan's part) and a plain-English line (mine).</w:t>
      </w:r>
    </w:p>
    <w:p>
      <w:r>
        <w:br w:type="page"/>
      </w:r>
    </w:p>
    <w:p>
      <w:pPr>
        <w:pStyle w:val="Heading1"/>
        <w:spacing w:after="120"/>
      </w:pPr>
      <w:r>
        <w:rPr>
          <w:rFonts w:ascii="Arial" w:cs="Arial" w:eastAsia="Arial" w:hAnsi="Arial"/>
          <w:b/>
          <w:bCs/>
          <w:i w:val="false"/>
          <w:iCs w:val="false"/>
          <w:color w:val="1F3864"/>
          <w:sz w:val="24"/>
          <w:szCs w:val="24"/>
        </w:rPr>
        <w:t xml:space="preserve">Part B — Spotting clauses that fight each other</w:t>
      </w:r>
    </w:p>
    <w:p>
      <w:pPr>
        <w:spacing w:after="120"/>
      </w:pPr>
      <w:r>
        <w:rPr>
          <w:rFonts w:ascii="Arial" w:cs="Arial" w:eastAsia="Arial" w:hAnsi="Arial"/>
          <w:b w:val="false"/>
          <w:bCs w:val="false"/>
          <w:i w:val="false"/>
          <w:iCs w:val="false"/>
          <w:color w:val="000000"/>
          <w:sz w:val="20"/>
          <w:szCs w:val="20"/>
        </w:rPr>
        <w:t xml:space="preserve">Stage 4 looks at all the clauses we found in a contract and flags pairs that contradict or over-restrict each other. The original CUAD paper doesn't do this at all, so it's one of the things that makes our project more than just a re-run of the dataset. Each rule only fires when both clauses are actually present in the same contract. These six are my starting set, and they're all written in terms of CUAD's own 41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60"/>
      </w:tblGrid>
      <w:tr>
        <w:trPr>
          <w:tblHeader/>
        </w:trPr>
        <w:tc>
          <w:tcPr>
            <w:tcW w:type="dxa" w:w="2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Clause A</w:t>
            </w:r>
          </w:p>
        </w:tc>
        <w:tc>
          <w:tcPr>
            <w:tcW w:type="dxa" w:w="2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Clause B</w:t>
            </w:r>
          </w:p>
        </w:tc>
        <w:tc>
          <w:tcPr>
            <w:tcW w:type="dxa" w:w="47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Why it matters</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bCs/>
                <w:color w:val="000000"/>
                <w:sz w:val="18"/>
                <w:szCs w:val="18"/>
              </w:rPr>
              <w:t xml:space="preserve">Exclusivity</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bCs/>
                <w:color w:val="000000"/>
                <w:sz w:val="18"/>
                <w:szCs w:val="18"/>
              </w:rPr>
              <w:t xml:space="preserve">Most Favored Nation</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val="false"/>
                <w:bCs w:val="false"/>
                <w:color w:val="000000"/>
                <w:sz w:val="18"/>
                <w:szCs w:val="18"/>
              </w:rPr>
              <w:t xml:space="preserve">If you've agreed to deal with only one partner, there's nobody else to compare against — yet MFN promises that partner your best terms versus everyone else. With no “everyone else,” the two clauses pull against each other and can leave you in breach just from how they're written.</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bCs/>
                <w:color w:val="000000"/>
                <w:sz w:val="18"/>
                <w:szCs w:val="18"/>
              </w:rPr>
              <w:t xml:space="preserve">Irrevocable / Perpetual License</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bCs/>
                <w:color w:val="000000"/>
                <w:sz w:val="18"/>
                <w:szCs w:val="18"/>
              </w:rPr>
              <w:t xml:space="preserve">Termination for Convenience</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val="false"/>
                <w:bCs w:val="false"/>
                <w:color w:val="000000"/>
                <w:sz w:val="18"/>
                <w:szCs w:val="18"/>
              </w:rPr>
              <w:t xml:space="preserve">One clause lets a party walk away whenever they like; the other says the license never ends. So what happens to the rights after someone terminates? The contract answers that question two different ways.</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bCs/>
                <w:color w:val="000000"/>
                <w:sz w:val="18"/>
                <w:szCs w:val="18"/>
              </w:rPr>
              <w:t xml:space="preserve">Uncapped Liability</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bCs/>
                <w:color w:val="000000"/>
                <w:sz w:val="18"/>
                <w:szCs w:val="18"/>
              </w:rPr>
              <w:t xml:space="preserve">Cap on Liability</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val="false"/>
                <w:bCs w:val="false"/>
                <w:color w:val="000000"/>
                <w:sz w:val="18"/>
                <w:szCs w:val="18"/>
              </w:rPr>
              <w:t xml:space="preserve">One section says your liability is capped at a set figure, another says it's unlimited (often for something like an IP or confidentiality breach). Read together, nobody can say for sure what the real worst-case number is.</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bCs/>
                <w:color w:val="000000"/>
                <w:sz w:val="18"/>
                <w:szCs w:val="18"/>
              </w:rPr>
              <w:t xml:space="preserve">Non-Compete</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bCs/>
                <w:color w:val="000000"/>
                <w:sz w:val="18"/>
                <w:szCs w:val="18"/>
              </w:rPr>
              <w:t xml:space="preserve">Competitive Restriction Exception</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val="false"/>
                <w:bCs w:val="false"/>
                <w:color w:val="000000"/>
                <w:sz w:val="18"/>
                <w:szCs w:val="18"/>
              </w:rPr>
              <w:t xml:space="preserve">A wide exception can quietly allow the very thing the non-compete is trying to stop. When that happens, it's genuinely unclear how far the restriction reaches or whether it holds up at all.</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bCs/>
                <w:color w:val="000000"/>
                <w:sz w:val="18"/>
                <w:szCs w:val="18"/>
              </w:rPr>
              <w:t xml:space="preserve">Anti-Assignment</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bCs/>
                <w:color w:val="000000"/>
                <w:sz w:val="18"/>
                <w:szCs w:val="18"/>
              </w:rPr>
              <w:t xml:space="preserve">Change of Control</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val="false"/>
                <w:bCs w:val="false"/>
                <w:color w:val="000000"/>
                <w:sz w:val="18"/>
                <w:szCs w:val="18"/>
              </w:rPr>
              <w:t xml:space="preserve">Anti-assignment says you can't hand the contract to someone else without permission, but a change-of-control event can pass it to a buyer automatically in a merger. The two disagree on whether a sale is allowed — which can block a deal.</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bCs/>
                <w:color w:val="000000"/>
                <w:sz w:val="18"/>
                <w:szCs w:val="18"/>
              </w:rPr>
              <w:t xml:space="preserve">Minimum Commitment</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bCs/>
                <w:color w:val="000000"/>
                <w:sz w:val="18"/>
                <w:szCs w:val="18"/>
              </w:rPr>
              <w:t xml:space="preserve">Termination for Convenience</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val="false"/>
                <w:bCs w:val="false"/>
                <w:color w:val="000000"/>
                <w:sz w:val="18"/>
                <w:szCs w:val="18"/>
              </w:rPr>
              <w:t xml:space="preserve">You've promised to spend a minimum, but either side can also quit early. If they do, are you still on the hook for the full amount? The clauses don't agree, and real money rides on the answer.</w:t>
            </w:r>
          </w:p>
        </w:tc>
      </w:tr>
    </w:tbl>
    <w:p>
      <w:pPr>
        <w:spacing w:after="0"/>
      </w:pPr>
      <w:r>
        <w:rPr>
          <w:rFonts w:ascii="Arial" w:cs="Arial" w:eastAsia="Arial" w:hAnsi="Arial"/>
          <w:b/>
          <w:bCs/>
          <w:i w:val="false"/>
          <w:iCs w:val="false"/>
          <w:color w:val="000000"/>
          <w:sz w:val="20"/>
          <w:szCs w:val="20"/>
        </w:rPr>
        <w:t xml:space="preserve">How the check works. </w:t>
      </w:r>
      <w:r>
        <w:rPr>
          <w:rFonts w:ascii="Arial" w:cs="Arial" w:eastAsia="Arial" w:hAnsi="Arial"/>
          <w:b w:val="false"/>
          <w:bCs w:val="false"/>
          <w:i w:val="false"/>
          <w:iCs w:val="false"/>
          <w:color w:val="000000"/>
          <w:sz w:val="20"/>
          <w:szCs w:val="20"/>
        </w:rPr>
        <w:t xml:space="preserve">It's a simple rule engine: mark which of the 41 categories showed up, then test the pairs above. When a pair both appears, the final report raises a warning — something like “Heads up: the Exclusivity clause may clash with the MFN clause in Section 8.” The same six rules are also on the “Conflict Rules” tab of the spreadsheet so the code can read them directly.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60"/>
      <w:outlineLvl w:val="0"/>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2026-06-06T11:59:38.950Z</dcterms:created>
  <dcterms:modified xsi:type="dcterms:W3CDTF">2026-06-06T11:59:38.950Z</dcterms:modified>
</cp:coreProperties>
</file>

<file path=docProps/custom.xml><?xml version="1.0" encoding="utf-8"?>
<Properties xmlns="http://schemas.openxmlformats.org/officeDocument/2006/custom-properties" xmlns:vt="http://schemas.openxmlformats.org/officeDocument/2006/docPropsVTypes"/>
</file>