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r>
        <w:rPr>
          <w:rFonts w:ascii="Calibri" w:hAnsi="Calibri"/>
          <w:b/>
          <w:color w:val="0284C7"/>
          <w:sz w:val="22"/>
        </w:rPr>
        <w:t>SYSTEMS ENGINEERING &amp; EMPIRICAL SOFTWARE RESEARCH HANDOFF</w:t>
      </w:r>
    </w:p>
    <w:p>
      <w:pPr>
        <w:spacing w:before="120" w:after="160"/>
      </w:pPr>
      <w:r>
        <w:rPr>
          <w:rFonts w:ascii="Calibri" w:hAnsi="Calibri"/>
          <w:b/>
          <w:color w:val="0F172A"/>
          <w:sz w:val="48"/>
        </w:rPr>
        <w:t>SNAPSE WINDOWS V1.0.0</w:t>
        <w:br/>
        <w:t>Complete Technical Architecture, Implementation Audit, and Research Handoff Report</w:t>
      </w:r>
    </w:p>
    <w:p>
      <w:pPr>
        <w:spacing w:after="480"/>
      </w:pPr>
      <w:r>
        <w:rPr>
          <w:rFonts w:ascii="Calibri" w:hAnsi="Calibri"/>
          <w:color w:val="475569"/>
          <w:sz w:val="24"/>
        </w:rPr>
        <w:t>A Unified Scientific Blueprint and Engineering Reference for Desktop System Telemetry, Process Management, Observer Perturbation Modeling, and Volatility-Aware Adaptive Sampling on Windows NT</w:t>
      </w:r>
    </w:p>
    <w:tbl>
      <w:tblPr>
        <w:tblW w:type="auto" w:w="0"/>
        <w:jc w:val="center"/>
        <w:tblLook w:firstColumn="1" w:firstRow="1" w:lastColumn="0" w:lastRow="0" w:noHBand="0" w:noVBand="1" w:val="04A0"/>
      </w:tblPr>
      <w:tblGrid>
        <w:gridCol w:w="4680"/>
        <w:gridCol w:w="4680"/>
      </w:tblGrid>
      <w:tr>
        <w:tc>
          <w:tcPr>
            <w:tcW w:type="dxa" w:w="3168"/>
            <w:shd w:fill="F1F5F9"/>
            <w:tcMar>
              <w:top w:w="70" w:type="dxa"/>
              <w:bottom w:w="70" w:type="dxa"/>
              <w:left w:w="100" w:type="dxa"/>
              <w:right w:w="100" w:type="dxa"/>
            </w:tcMar>
          </w:tcPr>
          <w:p>
            <w:r>
              <w:rPr>
                <w:b/>
                <w:color w:val="334155"/>
                <w:sz w:val="18"/>
              </w:rPr>
              <w:t>Target System / Product</w:t>
            </w:r>
          </w:p>
        </w:tc>
        <w:tc>
          <w:tcPr>
            <w:tcW w:type="dxa" w:w="6192"/>
            <w:shd w:fill="FFFFFF"/>
            <w:tcMar>
              <w:top w:w="70" w:type="dxa"/>
              <w:bottom w:w="70" w:type="dxa"/>
              <w:left w:w="100" w:type="dxa"/>
              <w:right w:w="100" w:type="dxa"/>
            </w:tcMar>
          </w:tcPr>
          <w:p>
            <w:r>
              <w:rPr>
                <w:color w:val="0F172A"/>
                <w:sz w:val="18"/>
              </w:rPr>
              <w:t>Snapse Windows Desktop Task Manager &amp; Performance Monitor</w:t>
            </w:r>
          </w:p>
        </w:tc>
      </w:tr>
      <w:tr>
        <w:tc>
          <w:tcPr>
            <w:tcW w:type="dxa" w:w="3168"/>
            <w:shd w:fill="F1F5F9"/>
            <w:tcMar>
              <w:top w:w="70" w:type="dxa"/>
              <w:bottom w:w="70" w:type="dxa"/>
              <w:left w:w="100" w:type="dxa"/>
              <w:right w:w="100" w:type="dxa"/>
            </w:tcMar>
          </w:tcPr>
          <w:p>
            <w:r>
              <w:rPr>
                <w:b/>
                <w:color w:val="334155"/>
                <w:sz w:val="18"/>
              </w:rPr>
              <w:t>Software Release Version</w:t>
            </w:r>
          </w:p>
        </w:tc>
        <w:tc>
          <w:tcPr>
            <w:tcW w:type="dxa" w:w="6192"/>
            <w:shd w:fill="FFFFFF"/>
            <w:tcMar>
              <w:top w:w="70" w:type="dxa"/>
              <w:bottom w:w="70" w:type="dxa"/>
              <w:left w:w="100" w:type="dxa"/>
              <w:right w:w="100" w:type="dxa"/>
            </w:tcMar>
          </w:tcPr>
          <w:p>
            <w:r>
              <w:rPr>
                <w:color w:val="0F172A"/>
                <w:sz w:val="18"/>
              </w:rPr>
              <w:t>v1.0.0 (Production Release Tag)</w:t>
            </w:r>
          </w:p>
        </w:tc>
      </w:tr>
      <w:tr>
        <w:tc>
          <w:tcPr>
            <w:tcW w:type="dxa" w:w="3168"/>
            <w:shd w:fill="F1F5F9"/>
            <w:tcMar>
              <w:top w:w="70" w:type="dxa"/>
              <w:bottom w:w="70" w:type="dxa"/>
              <w:left w:w="100" w:type="dxa"/>
              <w:right w:w="100" w:type="dxa"/>
            </w:tcMar>
          </w:tcPr>
          <w:p>
            <w:r>
              <w:rPr>
                <w:b/>
                <w:color w:val="334155"/>
                <w:sz w:val="18"/>
              </w:rPr>
              <w:t>Verified Git Commit SHA</w:t>
            </w:r>
          </w:p>
        </w:tc>
        <w:tc>
          <w:tcPr>
            <w:tcW w:type="dxa" w:w="6192"/>
            <w:shd w:fill="FFFFFF"/>
            <w:tcMar>
              <w:top w:w="70" w:type="dxa"/>
              <w:bottom w:w="70" w:type="dxa"/>
              <w:left w:w="100" w:type="dxa"/>
              <w:right w:w="100" w:type="dxa"/>
            </w:tcMar>
          </w:tcPr>
          <w:p>
            <w:r>
              <w:rPr>
                <w:color w:val="0F172A"/>
                <w:sz w:val="18"/>
              </w:rPr>
              <w:t>04624f49 (docs: add release notes for v1.0.0)</w:t>
            </w:r>
          </w:p>
        </w:tc>
      </w:tr>
      <w:tr>
        <w:tc>
          <w:tcPr>
            <w:tcW w:type="dxa" w:w="3168"/>
            <w:shd w:fill="F1F5F9"/>
            <w:tcMar>
              <w:top w:w="70" w:type="dxa"/>
              <w:bottom w:w="70" w:type="dxa"/>
              <w:left w:w="100" w:type="dxa"/>
              <w:right w:w="100" w:type="dxa"/>
            </w:tcMar>
          </w:tcPr>
          <w:p>
            <w:r>
              <w:rPr>
                <w:b/>
                <w:color w:val="334155"/>
                <w:sz w:val="18"/>
              </w:rPr>
              <w:t>Public Source Repository</w:t>
            </w:r>
          </w:p>
        </w:tc>
        <w:tc>
          <w:tcPr>
            <w:tcW w:type="dxa" w:w="6192"/>
            <w:shd w:fill="FFFFFF"/>
            <w:tcMar>
              <w:top w:w="70" w:type="dxa"/>
              <w:bottom w:w="70" w:type="dxa"/>
              <w:left w:w="100" w:type="dxa"/>
              <w:right w:w="100" w:type="dxa"/>
            </w:tcMar>
          </w:tcPr>
          <w:p>
            <w:r>
              <w:rPr>
                <w:color w:val="0F172A"/>
                <w:sz w:val="18"/>
              </w:rPr>
              <w:t>https://github.com/shshmichael020-alt/snapse-system-monitor</w:t>
            </w:r>
          </w:p>
        </w:tc>
      </w:tr>
      <w:tr>
        <w:tc>
          <w:tcPr>
            <w:tcW w:type="dxa" w:w="3168"/>
            <w:shd w:fill="F1F5F9"/>
            <w:tcMar>
              <w:top w:w="70" w:type="dxa"/>
              <w:bottom w:w="70" w:type="dxa"/>
              <w:left w:w="100" w:type="dxa"/>
              <w:right w:w="100" w:type="dxa"/>
            </w:tcMar>
          </w:tcPr>
          <w:p>
            <w:r>
              <w:rPr>
                <w:b/>
                <w:color w:val="334155"/>
                <w:sz w:val="18"/>
              </w:rPr>
              <w:t>Target Runtime &amp; OS</w:t>
            </w:r>
          </w:p>
        </w:tc>
        <w:tc>
          <w:tcPr>
            <w:tcW w:type="dxa" w:w="6192"/>
            <w:shd w:fill="FFFFFF"/>
            <w:tcMar>
              <w:top w:w="70" w:type="dxa"/>
              <w:bottom w:w="70" w:type="dxa"/>
              <w:left w:w="100" w:type="dxa"/>
              <w:right w:w="100" w:type="dxa"/>
            </w:tcMar>
          </w:tcPr>
          <w:p>
            <w:r>
              <w:rPr>
                <w:color w:val="0F172A"/>
                <w:sz w:val="18"/>
              </w:rPr>
              <w:t>Microsoft Windows 10 (1803+) / Windows 11 (x86_64 architecture)</w:t>
            </w:r>
          </w:p>
        </w:tc>
      </w:tr>
      <w:tr>
        <w:tc>
          <w:tcPr>
            <w:tcW w:type="dxa" w:w="3168"/>
            <w:shd w:fill="F1F5F9"/>
            <w:tcMar>
              <w:top w:w="70" w:type="dxa"/>
              <w:bottom w:w="70" w:type="dxa"/>
              <w:left w:w="100" w:type="dxa"/>
              <w:right w:w="100" w:type="dxa"/>
            </w:tcMar>
          </w:tcPr>
          <w:p>
            <w:r>
              <w:rPr>
                <w:b/>
                <w:color w:val="334155"/>
                <w:sz w:val="18"/>
              </w:rPr>
              <w:t>Desktop Shell Architecture</w:t>
            </w:r>
          </w:p>
        </w:tc>
        <w:tc>
          <w:tcPr>
            <w:tcW w:type="dxa" w:w="6192"/>
            <w:shd w:fill="FFFFFF"/>
            <w:tcMar>
              <w:top w:w="70" w:type="dxa"/>
              <w:bottom w:w="70" w:type="dxa"/>
              <w:left w:w="100" w:type="dxa"/>
              <w:right w:w="100" w:type="dxa"/>
            </w:tcMar>
          </w:tcPr>
          <w:p>
            <w:r>
              <w:rPr>
                <w:color w:val="0F172A"/>
                <w:sz w:val="18"/>
              </w:rPr>
              <w:t>Tauri 2 (Rust native core + WebView2 Presentation Layer)</w:t>
            </w:r>
          </w:p>
        </w:tc>
      </w:tr>
      <w:tr>
        <w:tc>
          <w:tcPr>
            <w:tcW w:type="dxa" w:w="3168"/>
            <w:shd w:fill="F1F5F9"/>
            <w:tcMar>
              <w:top w:w="70" w:type="dxa"/>
              <w:bottom w:w="70" w:type="dxa"/>
              <w:left w:w="100" w:type="dxa"/>
              <w:right w:w="100" w:type="dxa"/>
            </w:tcMar>
          </w:tcPr>
          <w:p>
            <w:r>
              <w:rPr>
                <w:b/>
                <w:color w:val="334155"/>
                <w:sz w:val="18"/>
              </w:rPr>
              <w:t>Primary Research Focus</w:t>
            </w:r>
          </w:p>
        </w:tc>
        <w:tc>
          <w:tcPr>
            <w:tcW w:type="dxa" w:w="6192"/>
            <w:shd w:fill="FFFFFF"/>
            <w:tcMar>
              <w:top w:w="70" w:type="dxa"/>
              <w:bottom w:w="70" w:type="dxa"/>
              <w:left w:w="100" w:type="dxa"/>
              <w:right w:w="100" w:type="dxa"/>
            </w:tcMar>
          </w:tcPr>
          <w:p>
            <w:r>
              <w:rPr>
                <w:color w:val="0F172A"/>
                <w:sz w:val="18"/>
              </w:rPr>
              <w:t>Quantifying and Mitigating the Observer Effect in Real-Time System Monitoring</w:t>
            </w:r>
          </w:p>
        </w:tc>
      </w:tr>
      <w:tr>
        <w:tc>
          <w:tcPr>
            <w:tcW w:type="dxa" w:w="3168"/>
            <w:shd w:fill="F1F5F9"/>
            <w:tcMar>
              <w:top w:w="70" w:type="dxa"/>
              <w:bottom w:w="70" w:type="dxa"/>
              <w:left w:w="100" w:type="dxa"/>
              <w:right w:w="100" w:type="dxa"/>
            </w:tcMar>
          </w:tcPr>
          <w:p>
            <w:r>
              <w:rPr>
                <w:b/>
                <w:color w:val="334155"/>
                <w:sz w:val="18"/>
              </w:rPr>
              <w:t>Document Preparation Date</w:t>
            </w:r>
          </w:p>
        </w:tc>
        <w:tc>
          <w:tcPr>
            <w:tcW w:type="dxa" w:w="6192"/>
            <w:shd w:fill="FFFFFF"/>
            <w:tcMar>
              <w:top w:w="70" w:type="dxa"/>
              <w:bottom w:w="70" w:type="dxa"/>
              <w:left w:w="100" w:type="dxa"/>
              <w:right w:w="100" w:type="dxa"/>
            </w:tcMar>
          </w:tcPr>
          <w:p>
            <w:r>
              <w:rPr>
                <w:color w:val="0F172A"/>
                <w:sz w:val="18"/>
              </w:rPr>
              <w:t>October 2026</w:t>
            </w:r>
          </w:p>
        </w:tc>
      </w:tr>
    </w:tbl>
    <w:p>
      <w:r>
        <w:br w:type="page"/>
      </w:r>
    </w:p>
    <w:p>
      <w:pPr>
        <w:keepNext/>
        <w:spacing w:before="360" w:after="120"/>
      </w:pPr>
      <w:r>
        <w:rPr>
          <w:rFonts w:ascii="Calibri" w:hAnsi="Calibri"/>
          <w:b/>
          <w:color w:val="1E3A8A"/>
          <w:sz w:val="32"/>
        </w:rPr>
        <w:t>Executive Summary &amp; Scientific Integrity Statement</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top w:val="none"/>
              <w:left w:val="single" w:sz="24" w:space="0" w:color="0284C7"/>
              <w:bottom w:val="none"/>
              <w:right w:val="none"/>
            </w:tcBorders>
          </w:tcPr>
          <w:p>
            <w:pPr>
              <w:spacing w:before="40" w:after="40" w:line="276" w:lineRule="auto"/>
            </w:pPr>
            <w:r>
              <w:rPr>
                <w:rFonts w:ascii="Calibri" w:hAnsi="Calibri"/>
                <w:b/>
                <w:color w:val="0284C7"/>
                <w:sz w:val="21"/>
              </w:rPr>
              <w:t>📌 Purpose of this Unified Document</w:t>
              <w:br/>
            </w:r>
            <w:r>
              <w:rPr>
                <w:rFonts w:ascii="Calibri" w:hAnsi="Calibri"/>
                <w:color w:val="1E293B"/>
                <w:sz w:val="20"/>
              </w:rPr>
              <w:t>This handoff document is engineered as a self-contained, authoritative technical and scientific reference for Snapse Windows V1.0.0. It bridges native systems engineering with empirical software measurement, providing another researcher or developer with every architectural detail, mathematical formalization, empirical finding, and publication blueprint necessary to evaluate the system or submit a top-tier peer-reviewed manuscript.</w:t>
            </w:r>
          </w:p>
        </w:tc>
      </w:tr>
    </w:tbl>
    <w:p>
      <w:pPr>
        <w:spacing w:before="0" w:after="80"/>
      </w:pPr>
    </w:p>
    <w:p>
      <w:pPr>
        <w:spacing w:after="80" w:line="276" w:lineRule="auto"/>
      </w:pPr>
      <w:r>
        <w:rPr>
          <w:i w:val="0"/>
          <w:color w:val="1E293B"/>
        </w:rPr>
        <w:t>Snapse is a native Windows task management and telemetry system designed to reconcile the fundamental conflict between telemetry fidelity and observer intrusion. Real-time diagnostic monitors are critical for operating systems inspection, yet querying kernel state tables, enumerating process trees, and rendering telemetry at high frequencies (e.g., 250ms) introduces non-trivial CPU utilization, thread context switches, and power consumption—perturbing the very workloads being observed.</w:t>
      </w:r>
    </w:p>
    <w:p>
      <w:pPr>
        <w:spacing w:after="80" w:line="276" w:lineRule="auto"/>
      </w:pPr>
      <w:r>
        <w:rPr>
          <w:i w:val="0"/>
          <w:color w:val="1E293B"/>
        </w:rPr>
        <w:t>To resolve this tension, Snapse implements a dual-plane hybrid architecture combining a low-level Rust monitoring engine with a hardware-accelerated presentation shell (Tauri 2 + React 18). Beyond standard monitoring, Snapse introduces a deterministic Volatility-Aware Adaptive Controller (VAC) that dynamically modulates sampling rates between 250ms and 2000ms based on real-time metric velocity, dual-threshold hysteresis, and cool-down decay.</w:t>
      </w:r>
    </w:p>
    <w:p>
      <w:pPr>
        <w:keepNext/>
        <w:spacing w:before="240" w:after="80"/>
      </w:pPr>
      <w:r>
        <w:rPr>
          <w:rFonts w:ascii="Calibri" w:hAnsi="Calibri"/>
          <w:b/>
          <w:color w:val="334155"/>
          <w:sz w:val="26"/>
        </w:rPr>
        <w:t>Methodological Classification &amp; Evidence Hierarchy</w:t>
      </w:r>
    </w:p>
    <w:p>
      <w:pPr>
        <w:spacing w:after="80" w:line="276" w:lineRule="auto"/>
      </w:pPr>
      <w:r>
        <w:rPr>
          <w:i w:val="0"/>
          <w:color w:val="1E293B"/>
        </w:rPr>
        <w:t>In strict adherence to academic and empirical standards, this report explicitly segregates verified implementation facts from empirical observations and proposed research. Every claim in this document is classified under one of five verified evidence categories: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592"/>
            <w:shd w:fill="1E3A8A"/>
            <w:tcMar>
              <w:top w:w="120" w:type="dxa"/>
              <w:bottom w:w="120" w:type="dxa"/>
              <w:left w:w="140" w:type="dxa"/>
              <w:right w:w="140" w:type="dxa"/>
            </w:tcMar>
            <w:vAlign w:val="center"/>
          </w:tcPr>
          <w:p>
            <w:pPr>
              <w:spacing w:before="40" w:after="40"/>
            </w:pPr>
            <w:r>
              <w:rPr>
                <w:rFonts w:ascii="Calibri" w:hAnsi="Calibri"/>
                <w:b/>
                <w:color w:val="FFFFFF"/>
                <w:sz w:val="19"/>
              </w:rPr>
              <w:t>Evidence Category</w:t>
            </w:r>
          </w:p>
        </w:tc>
        <w:tc>
          <w:tcPr>
            <w:tcW w:type="dxa" w:w="3600"/>
            <w:shd w:fill="1E3A8A"/>
            <w:tcMar>
              <w:top w:w="120" w:type="dxa"/>
              <w:bottom w:w="120" w:type="dxa"/>
              <w:left w:w="140" w:type="dxa"/>
              <w:right w:w="140" w:type="dxa"/>
            </w:tcMar>
            <w:vAlign w:val="center"/>
          </w:tcPr>
          <w:p>
            <w:pPr>
              <w:spacing w:before="40" w:after="40"/>
            </w:pPr>
            <w:r>
              <w:rPr>
                <w:rFonts w:ascii="Calibri" w:hAnsi="Calibri"/>
                <w:b/>
                <w:color w:val="FFFFFF"/>
                <w:sz w:val="19"/>
              </w:rPr>
              <w:t>Definition &amp; Standard of Proof</w:t>
            </w:r>
          </w:p>
        </w:tc>
        <w:tc>
          <w:tcPr>
            <w:tcW w:type="dxa" w:w="3168"/>
            <w:shd w:fill="1E3A8A"/>
            <w:tcMar>
              <w:top w:w="120" w:type="dxa"/>
              <w:bottom w:w="120" w:type="dxa"/>
              <w:left w:w="140" w:type="dxa"/>
              <w:right w:w="140" w:type="dxa"/>
            </w:tcMar>
            <w:vAlign w:val="center"/>
          </w:tcPr>
          <w:p>
            <w:pPr>
              <w:spacing w:before="40" w:after="40"/>
            </w:pPr>
            <w:r>
              <w:rPr>
                <w:rFonts w:ascii="Calibri" w:hAnsi="Calibri"/>
                <w:b/>
                <w:color w:val="FFFFFF"/>
                <w:sz w:val="19"/>
              </w:rPr>
              <w:t>Current Snapse Project Artifacts</w:t>
            </w:r>
          </w:p>
        </w:tc>
      </w:tr>
      <w:tr>
        <w:trPr>
          <w:cantSplit/>
        </w:trPr>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Verified Implementation Fact</w:t>
            </w:r>
          </w:p>
        </w:tc>
        <w:tc>
          <w:tcPr>
            <w:tcW w:type="dxa" w:w="360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Code directly implemented, audited in the source tree, and compiling without error.</w:t>
            </w:r>
          </w:p>
        </w:tc>
        <w:tc>
          <w:tcPr>
            <w:tcW w:type="dxa" w:w="3168"/>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Rust core modules, Win32 bindings (GetProcessTimes, DXGI, IP Helper), React UI, NSIS installer hooks.</w:t>
            </w:r>
          </w:p>
        </w:tc>
      </w:tr>
      <w:tr>
        <w:trPr>
          <w:cantSplit/>
        </w:trPr>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Verified Automated Test</w:t>
            </w:r>
          </w:p>
        </w:tc>
        <w:tc>
          <w:tcPr>
            <w:tcW w:type="dxa" w:w="360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Automated test suites executing synchronously with recorded pass evidence.</w:t>
            </w:r>
          </w:p>
        </w:tc>
        <w:tc>
          <w:tcPr>
            <w:tcW w:type="dxa" w:w="3168"/>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10/10 Cargo tests passing in tests/mod.rs and sampler.rs; TypeScript build passing 0 errors.</w:t>
            </w:r>
          </w:p>
        </w:tc>
      </w:tr>
      <w:tr>
        <w:trPr>
          <w:cantSplit/>
        </w:trPr>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Empirical Pilot Finding</w:t>
            </w:r>
          </w:p>
        </w:tc>
        <w:tc>
          <w:tcPr>
            <w:tcW w:type="dxa" w:w="360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Data recorded from controlled experimental runs on the Windows host.</w:t>
            </w:r>
          </w:p>
        </w:tc>
        <w:tc>
          <w:tcPr>
            <w:tcW w:type="dxa" w:w="3168"/>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Exploratory pilot runs in experiments/processed/ (N=1 run per configuration, 5-36 samples).</w:t>
            </w:r>
          </w:p>
        </w:tc>
      </w:tr>
      <w:tr>
        <w:trPr>
          <w:cantSplit/>
        </w:trPr>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Literature-Derived Fact</w:t>
            </w:r>
          </w:p>
        </w:tc>
        <w:tc>
          <w:tcPr>
            <w:tcW w:type="dxa" w:w="360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Principles, theorems, and benchmarks established in peer-reviewed scholarly literature.</w:t>
            </w:r>
          </w:p>
        </w:tc>
        <w:tc>
          <w:tcPr>
            <w:tcW w:type="dxa" w:w="3168"/>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Observer perturbation (Malony et al. 1992), profiler bias (Mytkowicz 2010), trace rate control (Mertz &amp; Nunes 2023).</w:t>
            </w:r>
          </w:p>
        </w:tc>
      </w:tr>
      <w:tr>
        <w:trPr>
          <w:cantSplit/>
        </w:trPr>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Proposed Research Protocol</w:t>
            </w:r>
          </w:p>
        </w:tc>
        <w:tc>
          <w:tcPr>
            <w:tcW w:type="dxa" w:w="360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Scientific designs, statistical procedures, and experiments planned for publication.</w:t>
            </w:r>
          </w:p>
        </w:tc>
        <w:tc>
          <w:tcPr>
            <w:tcW w:type="dxa" w:w="3168"/>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Formal N&gt;=30 repetition protocol, randomized workload block design, non-parametric Wilcoxon tests.</w:t>
            </w:r>
          </w:p>
        </w:tc>
      </w:tr>
    </w:tbl>
    <w:p>
      <w:r>
        <w:br w:type="page"/>
      </w:r>
    </w:p>
    <w:p>
      <w:pPr>
        <w:keepNext/>
        <w:spacing w:before="360" w:after="120"/>
      </w:pPr>
      <w:r>
        <w:rPr>
          <w:rFonts w:ascii="Calibri" w:hAnsi="Calibri"/>
          <w:b/>
          <w:color w:val="1E3A8A"/>
          <w:sz w:val="32"/>
        </w:rPr>
        <w:t>1. Project Overview &amp; Problem Formulation</w:t>
      </w:r>
    </w:p>
    <w:p>
      <w:pPr>
        <w:keepNext/>
        <w:spacing w:before="240" w:after="80"/>
      </w:pPr>
      <w:r>
        <w:rPr>
          <w:rFonts w:ascii="Calibri" w:hAnsi="Calibri"/>
          <w:b/>
          <w:color w:val="334155"/>
          <w:sz w:val="26"/>
        </w:rPr>
        <w:t>1.1 Non-Technical Overview</w:t>
      </w:r>
    </w:p>
    <w:p>
      <w:pPr>
        <w:spacing w:after="80" w:line="276" w:lineRule="auto"/>
      </w:pPr>
      <w:r>
        <w:rPr>
          <w:i w:val="0"/>
          <w:color w:val="1E293B"/>
        </w:rPr>
        <w:t>For general end-users, gamers, and software developers, Snapse is a modern, responsive, and visually intuitive Windows Task Manager alternative. When a computer slows down, freezes, or exhibits high fan noise, users need to know immediately which program is consuming resources, whether memory is leaking, or whether network bandwidth is saturated. Traditional tools can feel cluttered, visually dated, or difficult to inspect. Snapse provides a sleek desktop interface featuring live CPU per-core breakdowns, physical memory allocation, disk activity, Wi-Fi/Ethernet throughput, GPU utilization, hierarchical process tree inspection, customizable resource alerts, and an interactive 3D system topology visualization.</w:t>
      </w:r>
    </w:p>
    <w:p>
      <w:pPr>
        <w:keepNext/>
        <w:spacing w:before="240" w:after="80"/>
      </w:pPr>
      <w:r>
        <w:rPr>
          <w:rFonts w:ascii="Calibri" w:hAnsi="Calibri"/>
          <w:b/>
          <w:color w:val="334155"/>
          <w:sz w:val="26"/>
        </w:rPr>
        <w:t>1.2 Technical Overview</w:t>
      </w:r>
    </w:p>
    <w:p>
      <w:pPr>
        <w:spacing w:after="80" w:line="276" w:lineRule="auto"/>
      </w:pPr>
      <w:r>
        <w:rPr>
          <w:i w:val="0"/>
          <w:color w:val="1E293B"/>
        </w:rPr>
        <w:t>From a systems engineering perspective, Snapse is a high-performance Windows NT telemetry suite engineered with a decoupled dual-plane architecture:</w:t>
      </w:r>
    </w:p>
    <w:p>
      <w:pPr>
        <w:pStyle w:val="ListBullet"/>
        <w:spacing w:after="40" w:line="269" w:lineRule="auto"/>
        <w:ind w:left="360"/>
      </w:pPr>
      <w:r>
        <w:rPr>
          <w:b/>
          <w:color w:val="0F172A"/>
        </w:rPr>
        <w:t xml:space="preserve">Core Backend: </w:t>
      </w:r>
      <w:r>
        <w:rPr>
          <w:color w:val="1E293B"/>
        </w:rPr>
        <w:t>Native Engine Plane: A multithreaded daemon written in Rust (edition 2021) utilizing direct Win32 APIs, native NT kernel queries via the windows 0.58 crate and sysinfo 0.33, bounded ring buffers, and deterministic rate controllers.</w:t>
      </w:r>
    </w:p>
    <w:p>
      <w:pPr>
        <w:pStyle w:val="ListBullet"/>
        <w:spacing w:after="40" w:line="269" w:lineRule="auto"/>
        <w:ind w:left="360"/>
      </w:pPr>
      <w:r>
        <w:rPr>
          <w:b/>
          <w:color w:val="0F172A"/>
        </w:rPr>
        <w:t xml:space="preserve">Frontend Shell: </w:t>
      </w:r>
      <w:r>
        <w:rPr>
          <w:color w:val="1E293B"/>
        </w:rPr>
        <w:t>Presentation Plane: A hardware-accelerated web view powered by Tauri 2 and Microsoft Edge WebView2, rendering dynamic ECharts canvas visualizations, virtualized data tables, and Three.js WebGL scenes.</w:t>
      </w:r>
    </w:p>
    <w:p>
      <w:pPr>
        <w:pStyle w:val="ListBullet"/>
        <w:spacing w:after="40" w:line="269" w:lineRule="auto"/>
        <w:ind w:left="360"/>
      </w:pPr>
      <w:r>
        <w:rPr>
          <w:b/>
          <w:color w:val="0F172A"/>
        </w:rPr>
        <w:t xml:space="preserve">IPC Bridge: </w:t>
      </w:r>
      <w:r>
        <w:rPr>
          <w:color w:val="1E293B"/>
        </w:rPr>
        <w:t>Inter-Process Communication: Asynchronous JSON-RPC bridge using Tauri's invoke handler infrastructure, minimizing serialization overhead and isolating kernel query latency from UI rendering frame drops.</w:t>
      </w:r>
    </w:p>
    <w:p>
      <w:pPr>
        <w:keepNext/>
        <w:spacing w:before="240" w:after="80"/>
      </w:pPr>
      <w:r>
        <w:rPr>
          <w:rFonts w:ascii="Calibri" w:hAnsi="Calibri"/>
          <w:b/>
          <w:color w:val="334155"/>
          <w:sz w:val="26"/>
        </w:rPr>
        <w:t>1.3 Motivation &amp; Comparative Positioning</w:t>
      </w:r>
    </w:p>
    <w:p>
      <w:pPr>
        <w:spacing w:after="80" w:line="276" w:lineRule="auto"/>
      </w:pPr>
      <w:r>
        <w:rPr>
          <w:i w:val="0"/>
          <w:color w:val="1E293B"/>
        </w:rPr>
        <w:t>Operating systems monitoring tools operate along a spectrum of complexity and resource consumption. Snapse occupies a distinct architectural position relative to existing industry utilities: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160"/>
            <w:shd w:fill="1E3A8A"/>
            <w:tcMar>
              <w:top w:w="120" w:type="dxa"/>
              <w:bottom w:w="120" w:type="dxa"/>
              <w:left w:w="140" w:type="dxa"/>
              <w:right w:w="140" w:type="dxa"/>
            </w:tcMar>
            <w:vAlign w:val="center"/>
          </w:tcPr>
          <w:p>
            <w:pPr>
              <w:spacing w:before="40" w:after="40"/>
            </w:pPr>
            <w:r>
              <w:rPr>
                <w:rFonts w:ascii="Calibri" w:hAnsi="Calibri"/>
                <w:b/>
                <w:color w:val="FFFFFF"/>
                <w:sz w:val="19"/>
              </w:rPr>
              <w:t>Dimension</w:t>
            </w:r>
          </w:p>
        </w:tc>
        <w:tc>
          <w:tcPr>
            <w:tcW w:type="dxa" w:w="2592"/>
            <w:shd w:fill="1E3A8A"/>
            <w:tcMar>
              <w:top w:w="120" w:type="dxa"/>
              <w:bottom w:w="120" w:type="dxa"/>
              <w:left w:w="140" w:type="dxa"/>
              <w:right w:w="140" w:type="dxa"/>
            </w:tcMar>
            <w:vAlign w:val="center"/>
          </w:tcPr>
          <w:p>
            <w:pPr>
              <w:spacing w:before="40" w:after="40"/>
            </w:pPr>
            <w:r>
              <w:rPr>
                <w:rFonts w:ascii="Calibri" w:hAnsi="Calibri"/>
                <w:b/>
                <w:color w:val="FFFFFF"/>
                <w:sz w:val="19"/>
              </w:rPr>
              <w:t>Windows Task Manager</w:t>
            </w:r>
          </w:p>
        </w:tc>
        <w:tc>
          <w:tcPr>
            <w:tcW w:type="dxa" w:w="2592"/>
            <w:shd w:fill="1E3A8A"/>
            <w:tcMar>
              <w:top w:w="120" w:type="dxa"/>
              <w:bottom w:w="120" w:type="dxa"/>
              <w:left w:w="140" w:type="dxa"/>
              <w:right w:w="140" w:type="dxa"/>
            </w:tcMar>
            <w:vAlign w:val="center"/>
          </w:tcPr>
          <w:p>
            <w:pPr>
              <w:spacing w:before="40" w:after="40"/>
            </w:pPr>
            <w:r>
              <w:rPr>
                <w:rFonts w:ascii="Calibri" w:hAnsi="Calibri"/>
                <w:b/>
                <w:color w:val="FFFFFF"/>
                <w:sz w:val="19"/>
              </w:rPr>
              <w:t>Sysinternals Process Explorer</w:t>
            </w:r>
          </w:p>
        </w:tc>
        <w:tc>
          <w:tcPr>
            <w:tcW w:type="dxa" w:w="2736"/>
            <w:shd w:fill="1E3A8A"/>
            <w:tcMar>
              <w:top w:w="120" w:type="dxa"/>
              <w:bottom w:w="120" w:type="dxa"/>
              <w:left w:w="140" w:type="dxa"/>
              <w:right w:w="140" w:type="dxa"/>
            </w:tcMar>
            <w:vAlign w:val="center"/>
          </w:tcPr>
          <w:p>
            <w:pPr>
              <w:spacing w:before="40" w:after="40"/>
            </w:pPr>
            <w:r>
              <w:rPr>
                <w:rFonts w:ascii="Calibri" w:hAnsi="Calibri"/>
                <w:b/>
                <w:color w:val="FFFFFF"/>
                <w:sz w:val="19"/>
              </w:rPr>
              <w:t>Snapse Windows V1.0.0</w:t>
            </w:r>
          </w:p>
        </w:tc>
      </w:tr>
      <w:tr>
        <w:trPr>
          <w:cantSplit/>
        </w:trPr>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Architecture</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Closed-source native Win32/XAML</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Closed-source MFC / native C++</w:t>
            </w:r>
          </w:p>
        </w:tc>
        <w:tc>
          <w:tcPr>
            <w:tcW w:type="dxa" w:w="273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Open-source hybrid Rust + Tauri 2 / React</w:t>
            </w:r>
          </w:p>
        </w:tc>
      </w:tr>
      <w:tr>
        <w:trPr>
          <w:cantSplit/>
        </w:trPr>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Sampling Rates</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Fixed 3-tier: Low (4s), Normal (1s), High (0.5s)</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Fixed stepped intervals (0.5s - 10s)</w:t>
            </w:r>
          </w:p>
        </w:tc>
        <w:tc>
          <w:tcPr>
            <w:tcW w:type="dxa" w:w="273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Continuous fixed (0.25s - 2.0s) &amp; Volatility-Aware Adaptive</w:t>
            </w:r>
          </w:p>
        </w:tc>
      </w:tr>
      <w:tr>
        <w:trPr>
          <w:cantSplit/>
        </w:trPr>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Observer Awareness</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Heuristic; does not model or report its own overhead</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Static polling; unmodeled observer cost</w:t>
            </w:r>
          </w:p>
        </w:tc>
        <w:tc>
          <w:tcPr>
            <w:tcW w:type="dxa" w:w="273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Explicit self-telemetry measurement &amp; adaptive rate modulation</w:t>
            </w:r>
          </w:p>
        </w:tc>
      </w:tr>
      <w:tr>
        <w:trPr>
          <w:cantSplit/>
        </w:trPr>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Extensibility &amp; UI</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Fixed OS integration; no telemetry exports or custom FSM</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Advanced debugging (handles, DLLs), dated UI</w:t>
            </w:r>
          </w:p>
        </w:tc>
        <w:tc>
          <w:tcPr>
            <w:tcW w:type="dxa" w:w="273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Modern Fluent styling, Three.js 3D topology, CSV/JSON exports, research harness</w:t>
            </w:r>
          </w:p>
        </w:tc>
      </w:tr>
    </w:tbl>
    <w:p>
      <w:pPr>
        <w:keepNext/>
        <w:spacing w:before="240" w:after="80"/>
      </w:pPr>
      <w:r>
        <w:rPr>
          <w:rFonts w:ascii="Calibri" w:hAnsi="Calibri"/>
          <w:b/>
          <w:color w:val="334155"/>
          <w:sz w:val="26"/>
        </w:rPr>
        <w:t>1.4 Current Boundaries and Limitations</w:t>
      </w:r>
    </w:p>
    <w:p>
      <w:pPr>
        <w:spacing w:after="80" w:line="276" w:lineRule="auto"/>
      </w:pPr>
      <w:r>
        <w:rPr>
          <w:i w:val="0"/>
          <w:color w:val="1E293B"/>
        </w:rPr>
        <w:t>To maintain scientific integrity, the explicit limitations of Snapse V1.0.0 must be recognized:</w:t>
      </w:r>
    </w:p>
    <w:p>
      <w:pPr>
        <w:pStyle w:val="ListBullet"/>
        <w:spacing w:after="40" w:line="269" w:lineRule="auto"/>
        <w:ind w:left="360"/>
      </w:pPr>
      <w:r>
        <w:rPr>
          <w:b/>
          <w:color w:val="0F172A"/>
        </w:rPr>
        <w:t xml:space="preserve">Platform Exclusivity: </w:t>
      </w:r>
      <w:r>
        <w:rPr>
          <w:color w:val="1E293B"/>
        </w:rPr>
        <w:t>Operating System Scope: Snapse is targeted specifically at Windows 10 (version 1803+) and Windows 11 on x86_64 architectures. While sysinfo supports cross-platform builds, the deep platform optimizations (DXGI, IP Helper, Registry queries, WM_CLOSE message dispatch) are Windows-specific.</w:t>
      </w:r>
    </w:p>
    <w:p>
      <w:pPr>
        <w:pStyle w:val="ListBullet"/>
        <w:spacing w:after="40" w:line="269" w:lineRule="auto"/>
        <w:ind w:left="360"/>
      </w:pPr>
      <w:r>
        <w:rPr>
          <w:b/>
          <w:color w:val="0F172A"/>
        </w:rPr>
        <w:t xml:space="preserve">Security Bounds: </w:t>
      </w:r>
      <w:r>
        <w:rPr>
          <w:color w:val="1E293B"/>
        </w:rPr>
        <w:t>Protected Process Access: Processes protected by Windows Protected Process Light (PPL) or kernel anti-cheat systems deny PROCESS_QUERY_LIMITED_INFORMATION and PROCESS_TERMINATE handles unless running under specific kernel driver signing.</w:t>
      </w:r>
    </w:p>
    <w:p>
      <w:pPr>
        <w:pStyle w:val="ListBullet"/>
        <w:spacing w:after="40" w:line="269" w:lineRule="auto"/>
        <w:ind w:left="360"/>
      </w:pPr>
      <w:r>
        <w:rPr>
          <w:b/>
          <w:color w:val="0F172A"/>
        </w:rPr>
        <w:t xml:space="preserve">History Retention: </w:t>
      </w:r>
      <w:r>
        <w:rPr>
          <w:color w:val="1E293B"/>
        </w:rPr>
        <w:t>In-Memory Telemetry History: In the current release, historical sample buffers (300 points) reside in memory and reset upon application restart; disk persistence is supported for configuration settings, but long-term telemetry retention relies on manual CSV/JSON export.</w:t>
      </w:r>
    </w:p>
    <w:p>
      <w:pPr>
        <w:keepNext/>
        <w:spacing w:before="360" w:after="120"/>
      </w:pPr>
      <w:r>
        <w:rPr>
          <w:rFonts w:ascii="Calibri" w:hAnsi="Calibri"/>
          <w:b/>
          <w:color w:val="1E3A8A"/>
          <w:sz w:val="32"/>
        </w:rPr>
        <w:t>2. Full Technology Stack Audit</w:t>
      </w:r>
    </w:p>
    <w:p>
      <w:pPr>
        <w:spacing w:after="80" w:line="276" w:lineRule="auto"/>
      </w:pPr>
      <w:r>
        <w:rPr>
          <w:i w:val="0"/>
          <w:color w:val="1E293B"/>
        </w:rPr>
        <w:t>The Snapse codebase has been audited directly from the dependency manifests (src-tauri/Cargo.toml, package.json, src-tauri/tauri.conf.json) and compiled build outputs. The table below documents every core technology, its verified version, its functional role, and architectural justification:</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016"/>
            <w:shd w:fill="1E3A8A"/>
            <w:tcMar>
              <w:top w:w="120" w:type="dxa"/>
              <w:bottom w:w="120" w:type="dxa"/>
              <w:left w:w="140" w:type="dxa"/>
              <w:right w:w="140" w:type="dxa"/>
            </w:tcMar>
            <w:vAlign w:val="center"/>
          </w:tcPr>
          <w:p>
            <w:pPr>
              <w:spacing w:before="40" w:after="40"/>
            </w:pPr>
            <w:r>
              <w:rPr>
                <w:rFonts w:ascii="Calibri" w:hAnsi="Calibri"/>
                <w:b/>
                <w:color w:val="FFFFFF"/>
                <w:sz w:val="19"/>
              </w:rPr>
              <w:t>Layer / Subsystem</w:t>
            </w:r>
          </w:p>
        </w:tc>
        <w:tc>
          <w:tcPr>
            <w:tcW w:type="dxa" w:w="2448"/>
            <w:shd w:fill="1E3A8A"/>
            <w:tcMar>
              <w:top w:w="120" w:type="dxa"/>
              <w:bottom w:w="120" w:type="dxa"/>
              <w:left w:w="140" w:type="dxa"/>
              <w:right w:w="140" w:type="dxa"/>
            </w:tcMar>
            <w:vAlign w:val="center"/>
          </w:tcPr>
          <w:p>
            <w:pPr>
              <w:spacing w:before="40" w:after="40"/>
            </w:pPr>
            <w:r>
              <w:rPr>
                <w:rFonts w:ascii="Calibri" w:hAnsi="Calibri"/>
                <w:b/>
                <w:color w:val="FFFFFF"/>
                <w:sz w:val="19"/>
              </w:rPr>
              <w:t>Technology &amp; Version</w:t>
            </w:r>
          </w:p>
        </w:tc>
        <w:tc>
          <w:tcPr>
            <w:tcW w:type="dxa" w:w="2592"/>
            <w:shd w:fill="1E3A8A"/>
            <w:tcMar>
              <w:top w:w="120" w:type="dxa"/>
              <w:bottom w:w="120" w:type="dxa"/>
              <w:left w:w="140" w:type="dxa"/>
              <w:right w:w="140" w:type="dxa"/>
            </w:tcMar>
            <w:vAlign w:val="center"/>
          </w:tcPr>
          <w:p>
            <w:pPr>
              <w:spacing w:before="40" w:after="40"/>
            </w:pPr>
            <w:r>
              <w:rPr>
                <w:rFonts w:ascii="Calibri" w:hAnsi="Calibri"/>
                <w:b/>
                <w:color w:val="FFFFFF"/>
                <w:sz w:val="19"/>
              </w:rPr>
              <w:t>Functional Responsibility in Snapse</w:t>
            </w:r>
          </w:p>
        </w:tc>
        <w:tc>
          <w:tcPr>
            <w:tcW w:type="dxa" w:w="2304"/>
            <w:shd w:fill="1E3A8A"/>
            <w:tcMar>
              <w:top w:w="120" w:type="dxa"/>
              <w:bottom w:w="120" w:type="dxa"/>
              <w:left w:w="140" w:type="dxa"/>
              <w:right w:w="140" w:type="dxa"/>
            </w:tcMar>
            <w:vAlign w:val="center"/>
          </w:tcPr>
          <w:p>
            <w:pPr>
              <w:spacing w:before="40" w:after="40"/>
            </w:pPr>
            <w:r>
              <w:rPr>
                <w:rFonts w:ascii="Calibri" w:hAnsi="Calibri"/>
                <w:b/>
                <w:color w:val="FFFFFF"/>
                <w:sz w:val="19"/>
              </w:rPr>
              <w:t>Engineering Justification</w:t>
            </w:r>
          </w:p>
        </w:tc>
      </w:tr>
      <w:tr>
        <w:trPr>
          <w:cantSplit/>
        </w:trPr>
        <w:tc>
          <w:tcPr>
            <w:tcW w:type="dxa" w:w="201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Systems Language</w:t>
            </w:r>
          </w:p>
        </w:tc>
        <w:tc>
          <w:tcPr>
            <w:tcW w:type="dxa" w:w="2448"/>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Rust 2021 (rustc 1.83+)</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Core monitoring engine, memory management, Win32 API calls</w:t>
            </w:r>
          </w:p>
        </w:tc>
        <w:tc>
          <w:tcPr>
            <w:tcW w:type="dxa" w:w="2304"/>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Guarantees memory safety, zero-cost abstractions, fearless concurrency with zero GC pause.</w:t>
            </w:r>
          </w:p>
        </w:tc>
      </w:tr>
      <w:tr>
        <w:trPr>
          <w:cantSplit/>
        </w:trPr>
        <w:tc>
          <w:tcPr>
            <w:tcW w:type="dxa" w:w="201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Desktop Shell</w:t>
            </w:r>
          </w:p>
        </w:tc>
        <w:tc>
          <w:tcPr>
            <w:tcW w:type="dxa" w:w="2448"/>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Tauri 2.0 (CLI 2.2.0, API 2.2.0)</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Desktop window host, IPC event bridge, native packaging</w:t>
            </w:r>
          </w:p>
        </w:tc>
        <w:tc>
          <w:tcPr>
            <w:tcW w:type="dxa" w:w="2304"/>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Provides lightweight footprint (~2.5MB installer) compared to Electron (&gt;100MB).</w:t>
            </w:r>
          </w:p>
        </w:tc>
      </w:tr>
      <w:tr>
        <w:trPr>
          <w:cantSplit/>
        </w:trPr>
        <w:tc>
          <w:tcPr>
            <w:tcW w:type="dxa" w:w="201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Frontend Framework</w:t>
            </w:r>
          </w:p>
        </w:tc>
        <w:tc>
          <w:tcPr>
            <w:tcW w:type="dxa" w:w="2448"/>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React 18.3.1 + TypeScript 5.6.3</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Reactive state management, component tree, type safety</w:t>
            </w:r>
          </w:p>
        </w:tc>
        <w:tc>
          <w:tcPr>
            <w:tcW w:type="dxa" w:w="2304"/>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Industry-standard UI component model with strict static typing preventing null reference bugs.</w:t>
            </w:r>
          </w:p>
        </w:tc>
      </w:tr>
      <w:tr>
        <w:trPr>
          <w:cantSplit/>
        </w:trPr>
        <w:tc>
          <w:tcPr>
            <w:tcW w:type="dxa" w:w="201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Build Tooling</w:t>
            </w:r>
          </w:p>
        </w:tc>
        <w:tc>
          <w:tcPr>
            <w:tcW w:type="dxa" w:w="2448"/>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Vite 5.4.10</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Frontend bundler, HMR dev server, static minification</w:t>
            </w:r>
          </w:p>
        </w:tc>
        <w:tc>
          <w:tcPr>
            <w:tcW w:type="dxa" w:w="2304"/>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Sub-second cold starts and optimized production chunking into dist/ assets.</w:t>
            </w:r>
          </w:p>
        </w:tc>
      </w:tr>
      <w:tr>
        <w:trPr>
          <w:cantSplit/>
        </w:trPr>
        <w:tc>
          <w:tcPr>
            <w:tcW w:type="dxa" w:w="201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Styling &amp; Icons</w:t>
            </w:r>
          </w:p>
        </w:tc>
        <w:tc>
          <w:tcPr>
            <w:tcW w:type="dxa" w:w="2448"/>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Tailwind CSS 3.4.14 + Lucide 0.454.0</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Fluent design tokens, dark theme styling, vector icons</w:t>
            </w:r>
          </w:p>
        </w:tc>
        <w:tc>
          <w:tcPr>
            <w:tcW w:type="dxa" w:w="2304"/>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Zero runtime CSS overhead through build-time utility class pruning.</w:t>
            </w:r>
          </w:p>
        </w:tc>
      </w:tr>
      <w:tr>
        <w:trPr>
          <w:cantSplit/>
        </w:trPr>
        <w:tc>
          <w:tcPr>
            <w:tcW w:type="dxa" w:w="201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Charting Library</w:t>
            </w:r>
          </w:p>
        </w:tc>
        <w:tc>
          <w:tcPr>
            <w:tcW w:type="dxa" w:w="2448"/>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Apache ECharts 5.5.1</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Real-time canvas-based multi-line and area chart rendering</w:t>
            </w:r>
          </w:p>
        </w:tc>
        <w:tc>
          <w:tcPr>
            <w:tcW w:type="dxa" w:w="2304"/>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High-performance HTML5 Canvas rendering capable of smooth 60fps graph updates.</w:t>
            </w:r>
          </w:p>
        </w:tc>
      </w:tr>
      <w:tr>
        <w:trPr>
          <w:cantSplit/>
        </w:trPr>
        <w:tc>
          <w:tcPr>
            <w:tcW w:type="dxa" w:w="201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3D Visualization</w:t>
            </w:r>
          </w:p>
        </w:tc>
        <w:tc>
          <w:tcPr>
            <w:tcW w:type="dxa" w:w="2448"/>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Three.js 0.170.0</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Interactive 3D resource topology scene in Resource3DView</w:t>
            </w:r>
          </w:p>
        </w:tc>
        <w:tc>
          <w:tcPr>
            <w:tcW w:type="dxa" w:w="2304"/>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Hardware-accelerated WebGL rendering depicting system metrics as spatial nodes.</w:t>
            </w:r>
          </w:p>
        </w:tc>
      </w:tr>
      <w:tr>
        <w:trPr>
          <w:cantSplit/>
        </w:trPr>
        <w:tc>
          <w:tcPr>
            <w:tcW w:type="dxa" w:w="201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OS Kernel Telemetry</w:t>
            </w:r>
          </w:p>
        </w:tc>
        <w:tc>
          <w:tcPr>
            <w:tcW w:type="dxa" w:w="2448"/>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sysinfo 0.33</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Cross-subsystem CPU, memory, disk, and process traversal</w:t>
            </w:r>
          </w:p>
        </w:tc>
        <w:tc>
          <w:tcPr>
            <w:tcW w:type="dxa" w:w="2304"/>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Efficient native querying of Windows NT kernel process counters.</w:t>
            </w:r>
          </w:p>
        </w:tc>
      </w:tr>
      <w:tr>
        <w:trPr>
          <w:cantSplit/>
        </w:trPr>
        <w:tc>
          <w:tcPr>
            <w:tcW w:type="dxa" w:w="201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Win32 Native Bindings</w:t>
            </w:r>
          </w:p>
        </w:tc>
        <w:tc>
          <w:tcPr>
            <w:tcW w:type="dxa" w:w="2448"/>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windows crate 0.58</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Direct Win32/NT API calls (DXGI, IP Helper, Registry, Handles)</w:t>
            </w:r>
          </w:p>
        </w:tc>
        <w:tc>
          <w:tcPr>
            <w:tcW w:type="dxa" w:w="2304"/>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Official Microsoft-maintained Rust bindings providing complete type-safe Win32 headers.</w:t>
            </w:r>
          </w:p>
        </w:tc>
      </w:tr>
      <w:tr>
        <w:trPr>
          <w:cantSplit/>
        </w:trPr>
        <w:tc>
          <w:tcPr>
            <w:tcW w:type="dxa" w:w="201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Concurrency Control</w:t>
            </w:r>
          </w:p>
        </w:tc>
        <w:tc>
          <w:tcPr>
            <w:tcW w:type="dxa" w:w="2448"/>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parking_lot 0.12 (RwLock)</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Thread-safe engine state synchronization</w:t>
            </w:r>
          </w:p>
        </w:tc>
        <w:tc>
          <w:tcPr>
            <w:tcW w:type="dxa" w:w="2304"/>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Significantly lower synchronization latency and smaller memory footprint than std::sync::RwLock.</w:t>
            </w:r>
          </w:p>
        </w:tc>
      </w:tr>
      <w:tr>
        <w:trPr>
          <w:cantSplit/>
        </w:trPr>
        <w:tc>
          <w:tcPr>
            <w:tcW w:type="dxa" w:w="201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Packaging Tooling</w:t>
            </w:r>
          </w:p>
        </w:tc>
        <w:tc>
          <w:tcPr>
            <w:tcW w:type="dxa" w:w="2448"/>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Nullsoft Scriptable Install System (NSIS)</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Windows 64-bit installer generation with custom hooks</w:t>
            </w:r>
          </w:p>
        </w:tc>
        <w:tc>
          <w:tcPr>
            <w:tcW w:type="dxa" w:w="2304"/>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Standard enterprise deployment support with silent installation (/S) and uninstallation.</w:t>
            </w:r>
          </w:p>
        </w:tc>
      </w:tr>
      <w:tr>
        <w:trPr>
          <w:cantSplit/>
        </w:trPr>
        <w:tc>
          <w:tcPr>
            <w:tcW w:type="dxa" w:w="201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Runtime Components</w:t>
            </w:r>
          </w:p>
        </w:tc>
        <w:tc>
          <w:tcPr>
            <w:tcW w:type="dxa" w:w="2448"/>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WebView2Loader.dll + libunwind.dll</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Embedded runtime libraries bundled beside snapse.exe</w:t>
            </w:r>
          </w:p>
        </w:tc>
        <w:tc>
          <w:tcPr>
            <w:tcW w:type="dxa" w:w="2304"/>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Guarantees zero missing-DLL startup errors across clean Windows 10/11 installations.</w:t>
            </w:r>
          </w:p>
        </w:tc>
      </w:tr>
    </w:tbl>
    <w:p>
      <w:r>
        <w:br w:type="page"/>
      </w:r>
    </w:p>
    <w:p>
      <w:pPr>
        <w:keepNext/>
        <w:spacing w:before="360" w:after="120"/>
      </w:pPr>
      <w:r>
        <w:rPr>
          <w:rFonts w:ascii="Calibri" w:hAnsi="Calibri"/>
          <w:b/>
          <w:color w:val="1E3A8A"/>
          <w:sz w:val="32"/>
        </w:rPr>
        <w:t>3. System Architecture &amp; Data Flow Mechanics</w:t>
      </w:r>
    </w:p>
    <w:p>
      <w:pPr>
        <w:spacing w:after="80" w:line="276" w:lineRule="auto"/>
      </w:pPr>
      <w:r>
        <w:rPr>
          <w:i w:val="0"/>
          <w:color w:val="1E293B"/>
        </w:rPr>
        <w:t>Snapse is architectured to prevent monitoring workloads from polluting user-interface responsiveness. In traditional single-threaded monitors, long-running system calls (such as enumerating 300+ process handles or querying disconnected network interfaces) block UI event loops, causing dropped frames and sluggish window interactions. Snapse prevents this through strict horizontal decoupling:</w:t>
      </w:r>
    </w:p>
    <w:p>
      <w:pPr>
        <w:spacing w:before="160" w:after="40"/>
        <w:jc w:val="center"/>
      </w:pPr>
      <w:r>
        <w:drawing>
          <wp:inline xmlns:a="http://schemas.openxmlformats.org/drawingml/2006/main" xmlns:pic="http://schemas.openxmlformats.org/drawingml/2006/picture">
            <wp:extent cx="5669280" cy="3865418"/>
            <wp:docPr id="1" name="Picture 1"/>
            <wp:cNvGraphicFramePr>
              <a:graphicFrameLocks noChangeAspect="1"/>
            </wp:cNvGraphicFramePr>
            <a:graphic>
              <a:graphicData uri="http://schemas.openxmlformats.org/drawingml/2006/picture">
                <pic:pic>
                  <pic:nvPicPr>
                    <pic:cNvPr id="0" name="diag1_overall_architecture.png"/>
                    <pic:cNvPicPr/>
                  </pic:nvPicPr>
                  <pic:blipFill>
                    <a:blip r:embed="rId11"/>
                    <a:stretch>
                      <a:fillRect/>
                    </a:stretch>
                  </pic:blipFill>
                  <pic:spPr>
                    <a:xfrm>
                      <a:off x="0" y="0"/>
                      <a:ext cx="5669280" cy="3865418"/>
                    </a:xfrm>
                    <a:prstGeom prst="rect"/>
                  </pic:spPr>
                </pic:pic>
              </a:graphicData>
            </a:graphic>
          </wp:inline>
        </w:drawing>
      </w:r>
    </w:p>
    <w:p>
      <w:pPr>
        <w:spacing w:before="40" w:after="160"/>
        <w:jc w:val="center"/>
      </w:pPr>
      <w:r>
        <w:rPr>
          <w:rFonts w:ascii="Calibri" w:hAnsi="Calibri"/>
          <w:i/>
          <w:color w:val="475569"/>
          <w:sz w:val="18"/>
        </w:rPr>
        <w:t>Figure 3.1: Snapse Windows V1.0.0 Dual-Plane System Architecture, illustrating boundary isolation across Frontend Presentation, Rust Core Engine, and Windows NT Kernel Subsystems.</w:t>
      </w:r>
    </w:p>
    <w:p>
      <w:pPr>
        <w:keepNext/>
        <w:spacing w:before="240" w:after="80"/>
      </w:pPr>
      <w:r>
        <w:rPr>
          <w:rFonts w:ascii="Calibri" w:hAnsi="Calibri"/>
          <w:b/>
          <w:color w:val="334155"/>
          <w:sz w:val="26"/>
        </w:rPr>
        <w:t>3.1 The Rust Native Core Engine Plane</w:t>
      </w:r>
    </w:p>
    <w:p>
      <w:pPr>
        <w:spacing w:after="80" w:line="276" w:lineRule="auto"/>
      </w:pPr>
      <w:r>
        <w:rPr>
          <w:i w:val="0"/>
          <w:color w:val="1E293B"/>
        </w:rPr>
        <w:t>The core daemon resides in src-tauri/src/monitoring/engine.rs. When initialized, it instantiates an Arc&lt;RwLock&lt;MonitoringEngine&gt;&gt;, which is registered into Tauri's dependency injection container (.manage(engine)). The engine coordinates three primary tasks:</w:t>
      </w:r>
    </w:p>
    <w:p>
      <w:pPr>
        <w:pStyle w:val="ListBullet"/>
        <w:spacing w:after="40" w:line="269" w:lineRule="auto"/>
        <w:ind w:left="360"/>
      </w:pPr>
      <w:r>
        <w:rPr>
          <w:b/>
          <w:color w:val="0F172A"/>
        </w:rPr>
        <w:t xml:space="preserve">Telemetry Polling: </w:t>
      </w:r>
      <w:r>
        <w:rPr>
          <w:color w:val="1E293B"/>
        </w:rPr>
        <w:t>Kernel Telemetry Gathering: Invokes refresh_all(), synchronizing CPU cycle counters, physical RAM status, volume utilization, and process tables.</w:t>
      </w:r>
    </w:p>
    <w:p>
      <w:pPr>
        <w:pStyle w:val="ListBullet"/>
        <w:spacing w:after="40" w:line="269" w:lineRule="auto"/>
        <w:ind w:left="360"/>
      </w:pPr>
      <w:r>
        <w:rPr>
          <w:b/>
          <w:color w:val="0F172A"/>
        </w:rPr>
        <w:t xml:space="preserve">Adaptive Rate Control: </w:t>
      </w:r>
      <w:r>
        <w:rPr>
          <w:color w:val="1E293B"/>
        </w:rPr>
        <w:t>Rate Control FSM: Passes instantaneous metrics to the VolatilityController, dynamically computing volatility scores and setting next sleep intervals.</w:t>
      </w:r>
    </w:p>
    <w:p>
      <w:pPr>
        <w:pStyle w:val="ListBullet"/>
        <w:spacing w:after="40" w:line="269" w:lineRule="auto"/>
        <w:ind w:left="360"/>
      </w:pPr>
      <w:r>
        <w:rPr>
          <w:b/>
          <w:color w:val="0F172A"/>
        </w:rPr>
        <w:t xml:space="preserve">Historical Buffering: </w:t>
      </w:r>
      <w:r>
        <w:rPr>
          <w:color w:val="1E293B"/>
        </w:rPr>
        <w:t>Ring Buffer Management: Appends structured SystemHistoryPoint records to a bounded 300-point FIFO buffer, guaranteeing bounded heap memory consumption.</w:t>
      </w:r>
    </w:p>
    <w:p>
      <w:pPr>
        <w:keepNext/>
        <w:spacing w:before="240" w:after="80"/>
      </w:pPr>
      <w:r>
        <w:rPr>
          <w:rFonts w:ascii="Calibri" w:hAnsi="Calibri"/>
          <w:b/>
          <w:color w:val="334155"/>
          <w:sz w:val="26"/>
        </w:rPr>
        <w:t>3.2 The Inter-Process Communication (IPC) Bridge</w:t>
      </w:r>
    </w:p>
    <w:p>
      <w:pPr>
        <w:spacing w:after="80" w:line="276" w:lineRule="auto"/>
      </w:pPr>
      <w:r>
        <w:rPr>
          <w:i w:val="0"/>
          <w:color w:val="1E293B"/>
        </w:rPr>
        <w:t>Frontend-to-backend communication occurs over Tauri's asynchronous IPC channel. Commands are exposed in src-tauri/src/commands/mod.rs and invoked via @tauri-apps/api/core. When a command such as get_system_snapshot is invoked:</w:t>
      </w:r>
    </w:p>
    <w:p>
      <w:pPr>
        <w:pStyle w:val="ListBullet"/>
        <w:spacing w:after="40" w:line="269" w:lineRule="auto"/>
        <w:ind w:left="360"/>
      </w:pPr>
      <w:r>
        <w:rPr>
          <w:b/>
          <w:color w:val="0F172A"/>
        </w:rPr>
        <w:t xml:space="preserve">1. Dispatch: </w:t>
      </w:r>
      <w:r>
        <w:rPr>
          <w:color w:val="1E293B"/>
        </w:rPr>
        <w:t>The React hook dispatches an asynchronous IPC message across the WebView2 message loop.</w:t>
      </w:r>
    </w:p>
    <w:p>
      <w:pPr>
        <w:pStyle w:val="ListBullet"/>
        <w:spacing w:after="40" w:line="269" w:lineRule="auto"/>
        <w:ind w:left="360"/>
      </w:pPr>
      <w:r>
        <w:rPr>
          <w:b/>
          <w:color w:val="0F172A"/>
        </w:rPr>
        <w:t xml:space="preserve">2. Scheduling: </w:t>
      </w:r>
      <w:r>
        <w:rPr>
          <w:color w:val="1E293B"/>
        </w:rPr>
        <w:t>Tauri deserializes the JSON request and schedules the handler on Tokio's worker thread pool.</w:t>
      </w:r>
    </w:p>
    <w:p>
      <w:pPr>
        <w:pStyle w:val="ListBullet"/>
        <w:spacing w:after="40" w:line="269" w:lineRule="auto"/>
        <w:ind w:left="360"/>
      </w:pPr>
      <w:r>
        <w:rPr>
          <w:b/>
          <w:color w:val="0F172A"/>
        </w:rPr>
        <w:t xml:space="preserve">3. Lock Acquisition: </w:t>
      </w:r>
      <w:r>
        <w:rPr>
          <w:color w:val="1E293B"/>
        </w:rPr>
        <w:t>The handler acquires a read lock (or write lock during refresh) on the SharedEngine.</w:t>
      </w:r>
    </w:p>
    <w:p>
      <w:pPr>
        <w:pStyle w:val="ListBullet"/>
        <w:spacing w:after="40" w:line="269" w:lineRule="auto"/>
        <w:ind w:left="360"/>
      </w:pPr>
      <w:r>
        <w:rPr>
          <w:b/>
          <w:color w:val="0F172A"/>
        </w:rPr>
        <w:t xml:space="preserve">4. Serialization: </w:t>
      </w:r>
      <w:r>
        <w:rPr>
          <w:color w:val="1E293B"/>
        </w:rPr>
        <w:t>The engine serializes the SystemSnapshot model into JSON and returns it over the IPC bridge.</w:t>
      </w:r>
    </w:p>
    <w:p>
      <w:pPr>
        <w:pStyle w:val="ListBullet"/>
        <w:spacing w:after="40" w:line="269" w:lineRule="auto"/>
        <w:ind w:left="360"/>
      </w:pPr>
      <w:r>
        <w:rPr>
          <w:b/>
          <w:color w:val="0F172A"/>
        </w:rPr>
        <w:t xml:space="preserve">5. State Update: </w:t>
      </w:r>
      <w:r>
        <w:rPr>
          <w:color w:val="1E293B"/>
        </w:rPr>
        <w:t>The React useQuery / polling hook receives the snapshot, updating component state and canvas charts.</w:t>
      </w:r>
    </w:p>
    <w:p>
      <w:pPr>
        <w:spacing w:before="160" w:after="40"/>
        <w:jc w:val="center"/>
      </w:pPr>
      <w:r>
        <w:drawing>
          <wp:inline xmlns:a="http://schemas.openxmlformats.org/drawingml/2006/main" xmlns:pic="http://schemas.openxmlformats.org/drawingml/2006/picture">
            <wp:extent cx="5669280" cy="3509554"/>
            <wp:docPr id="2" name="Picture 2"/>
            <wp:cNvGraphicFramePr>
              <a:graphicFrameLocks noChangeAspect="1"/>
            </wp:cNvGraphicFramePr>
            <a:graphic>
              <a:graphicData uri="http://schemas.openxmlformats.org/drawingml/2006/picture">
                <pic:pic>
                  <pic:nvPicPr>
                    <pic:cNvPr id="0" name="diag2_metrics_collection.png"/>
                    <pic:cNvPicPr/>
                  </pic:nvPicPr>
                  <pic:blipFill>
                    <a:blip r:embed="rId12"/>
                    <a:stretch>
                      <a:fillRect/>
                    </a:stretch>
                  </pic:blipFill>
                  <pic:spPr>
                    <a:xfrm>
                      <a:off x="0" y="0"/>
                      <a:ext cx="5669280" cy="3509554"/>
                    </a:xfrm>
                    <a:prstGeom prst="rect"/>
                  </pic:spPr>
                </pic:pic>
              </a:graphicData>
            </a:graphic>
          </wp:inline>
        </w:drawing>
      </w:r>
    </w:p>
    <w:p>
      <w:pPr>
        <w:spacing w:before="40" w:after="160"/>
        <w:jc w:val="center"/>
      </w:pPr>
      <w:r>
        <w:rPr>
          <w:rFonts w:ascii="Calibri" w:hAnsi="Calibri"/>
          <w:i/>
          <w:color w:val="475569"/>
          <w:sz w:val="18"/>
        </w:rPr>
        <w:t>Figure 3.2: System Metric Pipeline Flow, from low-level Win32 and NT queries to state aggregation and ECharts canvas rendering.</w:t>
      </w:r>
    </w:p>
    <w:p>
      <w:r>
        <w:br w:type="page"/>
      </w:r>
    </w:p>
    <w:p>
      <w:pPr>
        <w:keepNext/>
        <w:spacing w:before="360" w:after="120"/>
      </w:pPr>
      <w:r>
        <w:rPr>
          <w:rFonts w:ascii="Calibri" w:hAnsi="Calibri"/>
          <w:b/>
          <w:color w:val="1E3A8A"/>
          <w:sz w:val="32"/>
        </w:rPr>
        <w:t>4. Source-Code Module-by-Module Technical Map</w:t>
      </w:r>
    </w:p>
    <w:p>
      <w:pPr>
        <w:spacing w:after="80" w:line="276" w:lineRule="auto"/>
      </w:pPr>
      <w:r>
        <w:rPr>
          <w:i w:val="0"/>
          <w:color w:val="1E293B"/>
        </w:rPr>
        <w:t>The table below maps every significant source module, file path, line count, and responsibility across the Snapse codebase, enabling any systems engineer to locate and inspect the implementation directly:</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592"/>
            <w:shd w:fill="1E3A8A"/>
            <w:tcMar>
              <w:top w:w="120" w:type="dxa"/>
              <w:bottom w:w="120" w:type="dxa"/>
              <w:left w:w="140" w:type="dxa"/>
              <w:right w:w="140" w:type="dxa"/>
            </w:tcMar>
            <w:vAlign w:val="center"/>
          </w:tcPr>
          <w:p>
            <w:pPr>
              <w:spacing w:before="40" w:after="40"/>
            </w:pPr>
            <w:r>
              <w:rPr>
                <w:rFonts w:ascii="Calibri" w:hAnsi="Calibri"/>
                <w:b/>
                <w:color w:val="FFFFFF"/>
                <w:sz w:val="19"/>
              </w:rPr>
              <w:t>Module &amp; File Path</w:t>
            </w:r>
          </w:p>
        </w:tc>
        <w:tc>
          <w:tcPr>
            <w:tcW w:type="dxa" w:w="1296"/>
            <w:shd w:fill="1E3A8A"/>
            <w:tcMar>
              <w:top w:w="120" w:type="dxa"/>
              <w:bottom w:w="120" w:type="dxa"/>
              <w:left w:w="140" w:type="dxa"/>
              <w:right w:w="140" w:type="dxa"/>
            </w:tcMar>
            <w:vAlign w:val="center"/>
          </w:tcPr>
          <w:p>
            <w:pPr>
              <w:spacing w:before="40" w:after="40"/>
            </w:pPr>
            <w:r>
              <w:rPr>
                <w:rFonts w:ascii="Calibri" w:hAnsi="Calibri"/>
                <w:b/>
                <w:color w:val="FFFFFF"/>
                <w:sz w:val="19"/>
              </w:rPr>
              <w:t>Lines of Code</w:t>
            </w:r>
          </w:p>
        </w:tc>
        <w:tc>
          <w:tcPr>
            <w:tcW w:type="dxa" w:w="2736"/>
            <w:shd w:fill="1E3A8A"/>
            <w:tcMar>
              <w:top w:w="120" w:type="dxa"/>
              <w:bottom w:w="120" w:type="dxa"/>
              <w:left w:w="140" w:type="dxa"/>
              <w:right w:w="140" w:type="dxa"/>
            </w:tcMar>
            <w:vAlign w:val="center"/>
          </w:tcPr>
          <w:p>
            <w:pPr>
              <w:spacing w:before="40" w:after="40"/>
            </w:pPr>
            <w:r>
              <w:rPr>
                <w:rFonts w:ascii="Calibri" w:hAnsi="Calibri"/>
                <w:b/>
                <w:color w:val="FFFFFF"/>
                <w:sz w:val="19"/>
              </w:rPr>
              <w:t>Key Structures &amp; Functions</w:t>
            </w:r>
          </w:p>
        </w:tc>
        <w:tc>
          <w:tcPr>
            <w:tcW w:type="dxa" w:w="2736"/>
            <w:shd w:fill="1E3A8A"/>
            <w:tcMar>
              <w:top w:w="120" w:type="dxa"/>
              <w:bottom w:w="120" w:type="dxa"/>
              <w:left w:w="140" w:type="dxa"/>
              <w:right w:w="140" w:type="dxa"/>
            </w:tcMar>
            <w:vAlign w:val="center"/>
          </w:tcPr>
          <w:p>
            <w:pPr>
              <w:spacing w:before="40" w:after="40"/>
            </w:pPr>
            <w:r>
              <w:rPr>
                <w:rFonts w:ascii="Calibri" w:hAnsi="Calibri"/>
                <w:b/>
                <w:color w:val="FFFFFF"/>
                <w:sz w:val="19"/>
              </w:rPr>
              <w:t>Implementation Responsibility</w:t>
            </w:r>
          </w:p>
        </w:tc>
      </w:tr>
      <w:tr>
        <w:trPr>
          <w:cantSplit/>
        </w:trPr>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src-tauri/src/lib.rs</w:t>
            </w:r>
          </w:p>
        </w:tc>
        <w:tc>
          <w:tcPr>
            <w:tcW w:type="dxa" w:w="129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60</w:t>
            </w:r>
          </w:p>
        </w:tc>
        <w:tc>
          <w:tcPr>
            <w:tcW w:type="dxa" w:w="273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run(), setup()</w:t>
            </w:r>
          </w:p>
        </w:tc>
        <w:tc>
          <w:tcPr>
            <w:tcW w:type="dxa" w:w="273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Application entry point; registers plugins, window setup, and exposes all 23 Tauri commands.</w:t>
            </w:r>
          </w:p>
        </w:tc>
      </w:tr>
      <w:tr>
        <w:trPr>
          <w:cantSplit/>
        </w:trPr>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src-tauri/src/commands/mod.rs</w:t>
            </w:r>
          </w:p>
        </w:tc>
        <w:tc>
          <w:tcPr>
            <w:tcW w:type="dxa" w:w="129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292</w:t>
            </w:r>
          </w:p>
        </w:tc>
        <w:tc>
          <w:tcPr>
            <w:tcW w:type="dxa" w:w="273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get_system_snapshot, terminate_process, configure_research_sampling</w:t>
            </w:r>
          </w:p>
        </w:tc>
        <w:tc>
          <w:tcPr>
            <w:tcW w:type="dxa" w:w="273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IPC command handlers bridging frontend requests to engine methods; handles JSON and CSV exports.</w:t>
            </w:r>
          </w:p>
        </w:tc>
      </w:tr>
      <w:tr>
        <w:trPr>
          <w:cantSplit/>
        </w:trPr>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src-tauri/src/platform/windows.rs</w:t>
            </w:r>
          </w:p>
        </w:tc>
        <w:tc>
          <w:tcPr>
            <w:tcW w:type="dxa" w:w="129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607</w:t>
            </w:r>
          </w:p>
        </w:tc>
        <w:tc>
          <w:tcPr>
            <w:tcW w:type="dxa" w:w="273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PlatformOps, get_gpu_info, validate_process_action, get_network_adapter_map</w:t>
            </w:r>
          </w:p>
        </w:tc>
        <w:tc>
          <w:tcPr>
            <w:tcW w:type="dxa" w:w="273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Direct Win32 API operations: DXGI adapter scanning, IP Helper adapter mapping, process safety checks, WM_CLOSE.</w:t>
            </w:r>
          </w:p>
        </w:tc>
      </w:tr>
      <w:tr>
        <w:trPr>
          <w:cantSplit/>
        </w:trPr>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src-tauri/src/monitoring/engine.rs</w:t>
            </w:r>
          </w:p>
        </w:tc>
        <w:tc>
          <w:tcPr>
            <w:tcW w:type="dxa" w:w="129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298</w:t>
            </w:r>
          </w:p>
        </w:tc>
        <w:tc>
          <w:tcPr>
            <w:tcW w:type="dxa" w:w="273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MonitoringEngine, refresh_all, get_processes, handle_process_action</w:t>
            </w:r>
          </w:p>
        </w:tc>
        <w:tc>
          <w:tcPr>
            <w:tcW w:type="dxa" w:w="273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Central monitoring coordinator; aggregates sysinfo and Win32 metrics, maintains historical buffers.</w:t>
            </w:r>
          </w:p>
        </w:tc>
      </w:tr>
      <w:tr>
        <w:trPr>
          <w:cantSplit/>
        </w:trPr>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src-tauri/src/monitoring/sampler.rs</w:t>
            </w:r>
          </w:p>
        </w:tc>
        <w:tc>
          <w:tcPr>
            <w:tcW w:type="dxa" w:w="129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241</w:t>
            </w:r>
          </w:p>
        </w:tc>
        <w:tc>
          <w:tcPr>
            <w:tcW w:type="dxa" w:w="273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VolatilityController, ControllerConfig, step, compute_instantaneous_volatility</w:t>
            </w:r>
          </w:p>
        </w:tc>
        <w:tc>
          <w:tcPr>
            <w:tcW w:type="dxa" w:w="273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Deterministic rate controller; computes EMA volatility velocity, executes dual-threshold hysteresis FSM.</w:t>
            </w:r>
          </w:p>
        </w:tc>
      </w:tr>
      <w:tr>
        <w:trPr>
          <w:cantSplit/>
        </w:trPr>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src-tauri/src/history/buffer.rs</w:t>
            </w:r>
          </w:p>
        </w:tc>
        <w:tc>
          <w:tcPr>
            <w:tcW w:type="dxa" w:w="129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95</w:t>
            </w:r>
          </w:p>
        </w:tc>
        <w:tc>
          <w:tcPr>
            <w:tcW w:type="dxa" w:w="273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HistoryManager, push_system_point, cleanup_stale_processes</w:t>
            </w:r>
          </w:p>
        </w:tc>
        <w:tc>
          <w:tcPr>
            <w:tcW w:type="dxa" w:w="273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Bounded ring buffers maintaining up to 300 system samples and 60 samples per active process PID.</w:t>
            </w:r>
          </w:p>
        </w:tc>
      </w:tr>
      <w:tr>
        <w:trPr>
          <w:cantSplit/>
        </w:trPr>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src-tauri/src/alerts/evaluator.rs</w:t>
            </w:r>
          </w:p>
        </w:tc>
        <w:tc>
          <w:tcPr>
            <w:tcW w:type="dxa" w:w="129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110</w:t>
            </w:r>
          </w:p>
        </w:tc>
        <w:tc>
          <w:tcPr>
            <w:tcW w:type="dxa" w:w="273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AlertEvaluator, evaluate, acknowledge_alert</w:t>
            </w:r>
          </w:p>
        </w:tc>
        <w:tc>
          <w:tcPr>
            <w:tcW w:type="dxa" w:w="273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Alert evaluation state machine; enforces sustained-duration thresholds before firing alert events.</w:t>
            </w:r>
          </w:p>
        </w:tc>
      </w:tr>
      <w:tr>
        <w:trPr>
          <w:cantSplit/>
        </w:trPr>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src-tauri/src/models/metrics.rs</w:t>
            </w:r>
          </w:p>
        </w:tc>
        <w:tc>
          <w:tcPr>
            <w:tcW w:type="dxa" w:w="129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92</w:t>
            </w:r>
          </w:p>
        </w:tc>
        <w:tc>
          <w:tcPr>
            <w:tcW w:type="dxa" w:w="273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SystemSnapshot, CpuCoreMetrics, GpuSnapshot, NetworkAdapterMetrics</w:t>
            </w:r>
          </w:p>
        </w:tc>
        <w:tc>
          <w:tcPr>
            <w:tcW w:type="dxa" w:w="273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Core telemetry data structures serialized over IPC to the frontend.</w:t>
            </w:r>
          </w:p>
        </w:tc>
      </w:tr>
      <w:tr>
        <w:trPr>
          <w:cantSplit/>
        </w:trPr>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src-tauri/src/models/process.rs</w:t>
            </w:r>
          </w:p>
        </w:tc>
        <w:tc>
          <w:tcPr>
            <w:tcW w:type="dxa" w:w="129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80</w:t>
            </w:r>
          </w:p>
        </w:tc>
        <w:tc>
          <w:tcPr>
            <w:tcW w:type="dxa" w:w="273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ProcessSummary, ProcessTreeNode, ProcessDetails</w:t>
            </w:r>
          </w:p>
        </w:tc>
        <w:tc>
          <w:tcPr>
            <w:tcW w:type="dxa" w:w="273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Process management structures supporting flat tables and hierarchical parent-child trees.</w:t>
            </w:r>
          </w:p>
        </w:tc>
      </w:tr>
      <w:tr>
        <w:trPr>
          <w:cantSplit/>
        </w:trPr>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src-tauri/src/bin/benchmark.rs</w:t>
            </w:r>
          </w:p>
        </w:tc>
        <w:tc>
          <w:tcPr>
            <w:tcW w:type="dxa" w:w="129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203</w:t>
            </w:r>
          </w:p>
        </w:tc>
        <w:tc>
          <w:tcPr>
            <w:tcW w:type="dxa" w:w="273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run_single_experiment, parse_arg</w:t>
            </w:r>
          </w:p>
        </w:tc>
        <w:tc>
          <w:tcPr>
            <w:tcW w:type="dxa" w:w="273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Command-line benchmark harness for running automated, reproducible scientific sampling experiments.</w:t>
            </w:r>
          </w:p>
        </w:tc>
      </w:tr>
      <w:tr>
        <w:trPr>
          <w:cantSplit/>
        </w:trPr>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src-tauri/src/tests/mod.rs</w:t>
            </w:r>
          </w:p>
        </w:tc>
        <w:tc>
          <w:tcPr>
            <w:tcW w:type="dxa" w:w="129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204</w:t>
            </w:r>
          </w:p>
        </w:tc>
        <w:tc>
          <w:tcPr>
            <w:tcW w:type="dxa" w:w="273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10 Unit and Integration Tests</w:t>
            </w:r>
          </w:p>
        </w:tc>
        <w:tc>
          <w:tcPr>
            <w:tcW w:type="dxa" w:w="273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Automated test suites covering safety guards, ring buffers, alert FSM, settings persistence, and process lifecycle.</w:t>
            </w:r>
          </w:p>
        </w:tc>
      </w:tr>
      <w:tr>
        <w:trPr>
          <w:cantSplit/>
        </w:trPr>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src/views/PerformanceView.tsx</w:t>
            </w:r>
          </w:p>
        </w:tc>
        <w:tc>
          <w:tcPr>
            <w:tcW w:type="dxa" w:w="129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1019</w:t>
            </w:r>
          </w:p>
        </w:tc>
        <w:tc>
          <w:tcPr>
            <w:tcW w:type="dxa" w:w="273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PerformanceView, ECharts visualizers</w:t>
            </w:r>
          </w:p>
        </w:tc>
        <w:tc>
          <w:tcPr>
            <w:tcW w:type="dxa" w:w="273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Comprehensive telemetry view displaying live graphs for CPU, Memory, Disk, Network, and GPU.</w:t>
            </w:r>
          </w:p>
        </w:tc>
      </w:tr>
      <w:tr>
        <w:trPr>
          <w:cantSplit/>
        </w:trPr>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src/views/ProcessesView.tsx</w:t>
            </w:r>
          </w:p>
        </w:tc>
        <w:tc>
          <w:tcPr>
            <w:tcW w:type="dxa" w:w="129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420</w:t>
            </w:r>
          </w:p>
        </w:tc>
        <w:tc>
          <w:tcPr>
            <w:tcW w:type="dxa" w:w="273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ProcessesView, virtualized table</w:t>
            </w:r>
          </w:p>
        </w:tc>
        <w:tc>
          <w:tcPr>
            <w:tcW w:type="dxa" w:w="273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Interactive process manager supporting sorting, filtering, and safe process termination.</w:t>
            </w:r>
          </w:p>
        </w:tc>
      </w:tr>
    </w:tbl>
    <w:p>
      <w:r>
        <w:br w:type="page"/>
      </w:r>
    </w:p>
    <w:p>
      <w:pPr>
        <w:keepNext/>
        <w:spacing w:before="360" w:after="120"/>
      </w:pPr>
      <w:r>
        <w:rPr>
          <w:rFonts w:ascii="Calibri" w:hAnsi="Calibri"/>
          <w:b/>
          <w:color w:val="1E3A8A"/>
          <w:sz w:val="32"/>
        </w:rPr>
        <w:t>5. Real System Monitoring Implementation &amp; Telemetry Analysis</w:t>
      </w:r>
    </w:p>
    <w:p>
      <w:pPr>
        <w:spacing w:after="80" w:line="276" w:lineRule="auto"/>
      </w:pPr>
      <w:r>
        <w:rPr>
          <w:i w:val="0"/>
          <w:color w:val="1E293B"/>
        </w:rPr>
        <w:t>A central objective of Snapse is absolute telemetry fidelity: eliminating mock data, fabricated hardware specs, and static placeholder graphs. Every metric displayed in the application is derived from real Windows NT kernel, DXGI, or IP Helper measurements.</w:t>
      </w:r>
    </w:p>
    <w:p>
      <w:pPr>
        <w:keepNext/>
        <w:spacing w:before="240" w:after="80"/>
      </w:pPr>
      <w:r>
        <w:rPr>
          <w:rFonts w:ascii="Calibri" w:hAnsi="Calibri"/>
          <w:b/>
          <w:color w:val="334155"/>
          <w:sz w:val="26"/>
        </w:rPr>
        <w:t>5.1 Hardware Telemetry Subsystems</w:t>
      </w:r>
    </w:p>
    <w:p>
      <w:pPr>
        <w:pStyle w:val="ListBullet"/>
        <w:spacing w:after="40" w:line="269" w:lineRule="auto"/>
        <w:ind w:left="360"/>
      </w:pPr>
      <w:r>
        <w:rPr>
          <w:b/>
          <w:color w:val="0F172A"/>
        </w:rPr>
        <w:t xml:space="preserve">Processor Monitoring: </w:t>
      </w:r>
      <w:r>
        <w:rPr>
          <w:color w:val="1E293B"/>
        </w:rPr>
        <w:t>CPU Telemetry: Overall CPU utilization and per-logical core usage are obtained via sysinfo::System::refresh_cpu_all(). Hardware virtualization capabilities are verified via Win32 IsProcessorFeaturePresent(PF_VIRT_FIRMWARE_ENABLED), properly distinguishing Intel VT-x from AMD-V.</w:t>
      </w:r>
    </w:p>
    <w:p>
      <w:pPr>
        <w:pStyle w:val="ListBullet"/>
        <w:spacing w:after="40" w:line="269" w:lineRule="auto"/>
        <w:ind w:left="360"/>
      </w:pPr>
      <w:r>
        <w:rPr>
          <w:b/>
          <w:color w:val="0F172A"/>
        </w:rPr>
        <w:t xml:space="preserve">Memory Architecture: </w:t>
      </w:r>
      <w:r>
        <w:rPr>
          <w:color w:val="1E293B"/>
        </w:rPr>
        <w:t>Physical Memory &amp; Swap: Physical memory is retrieved directly from kernel memory management counters. Total physical RAM, available memory, and used working sets are calculated with 64-bit precision, preventing integer truncation on systems with large memory pools.</w:t>
      </w:r>
    </w:p>
    <w:p>
      <w:pPr>
        <w:pStyle w:val="ListBullet"/>
        <w:spacing w:after="40" w:line="269" w:lineRule="auto"/>
        <w:ind w:left="360"/>
      </w:pPr>
      <w:r>
        <w:rPr>
          <w:b/>
          <w:color w:val="0F172A"/>
        </w:rPr>
        <w:t xml:space="preserve">DirectX GPU Subsystem: </w:t>
      </w:r>
      <w:r>
        <w:rPr>
          <w:color w:val="1E293B"/>
        </w:rPr>
        <w:t>GPU Telemetry via DXGI: Snapse queries the DirectX Graphics Infrastructure (DXGI 1.1) by creating a factory (CreateDXGIFactory1::&lt;IDXGIFactory1&gt;()) and enumerating hardware adapters (EnumAdapters1). It extracts dedicated video memory, shared system memory, and queries the Windows Registry (SYSTEM\CurrentControlSet\Control\Class\{4d36e968-e325-11ce-bfc1-08002be10318}) to obtain the verified display driver version.</w:t>
      </w:r>
    </w:p>
    <w:p>
      <w:pPr>
        <w:pStyle w:val="ListBullet"/>
        <w:spacing w:after="40" w:line="269" w:lineRule="auto"/>
        <w:ind w:left="360"/>
      </w:pPr>
      <w:r>
        <w:rPr>
          <w:b/>
          <w:color w:val="0F172A"/>
        </w:rPr>
        <w:t xml:space="preserve">Storage Architecture: </w:t>
      </w:r>
      <w:r>
        <w:rPr>
          <w:color w:val="1E293B"/>
        </w:rPr>
        <w:t>Storage &amp; Volume Geometry: Physical drive model names are resolved by reading the registry device enumerator (SYSTEM\CurrentControlSet\Services\disk\Enum), mapping device IDs to friendly strings (e.g., NVMe WD PC SN810). Disk read and write throughput are computed from cumulative byte delta counters across successive sampling ticks.</w:t>
      </w:r>
    </w:p>
    <w:p>
      <w:pPr>
        <w:pStyle w:val="ListBullet"/>
        <w:spacing w:after="40" w:line="269" w:lineRule="auto"/>
        <w:ind w:left="360"/>
      </w:pPr>
      <w:r>
        <w:rPr>
          <w:b/>
          <w:color w:val="0F172A"/>
        </w:rPr>
        <w:t xml:space="preserve">IP Helper Network Mapping: </w:t>
      </w:r>
      <w:r>
        <w:rPr>
          <w:color w:val="1E293B"/>
        </w:rPr>
        <w:t>Network Telemetry via IP Helper: Network interface state is queried via GetAdaptersAddresses from the Windows IP Helper API. Snapse identifies active adapter friendly names, checks operational status (IfOperStatusUp), classifies interfaces (IEEE 802.11 Wi-Fi vs 802.3 Ethernet), and computes instantaneous transfer throughput.</w:t>
      </w:r>
    </w:p>
    <w:p>
      <w:pPr>
        <w:keepNext/>
        <w:spacing w:before="240" w:after="80"/>
      </w:pPr>
      <w:r>
        <w:rPr>
          <w:rFonts w:ascii="Calibri" w:hAnsi="Calibri"/>
          <w:b/>
          <w:color w:val="334155"/>
          <w:sz w:val="26"/>
        </w:rPr>
        <w:t>5.2 Metric Specification &amp; Source Matrix</w:t>
      </w:r>
    </w:p>
    <w:p>
      <w:pPr>
        <w:spacing w:after="80" w:line="276" w:lineRule="auto"/>
      </w:pPr>
      <w:r>
        <w:rPr>
          <w:i w:val="0"/>
          <w:color w:val="1E293B"/>
        </w:rPr>
        <w:t>The table below details the mathematical derivation, resolution, and source API for every primary metric:</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1872"/>
            <w:shd w:fill="1E3A8A"/>
            <w:tcMar>
              <w:top w:w="120" w:type="dxa"/>
              <w:bottom w:w="120" w:type="dxa"/>
              <w:left w:w="140" w:type="dxa"/>
              <w:right w:w="140" w:type="dxa"/>
            </w:tcMar>
            <w:vAlign w:val="center"/>
          </w:tcPr>
          <w:p>
            <w:pPr>
              <w:spacing w:before="40" w:after="40"/>
            </w:pPr>
            <w:r>
              <w:rPr>
                <w:rFonts w:ascii="Calibri" w:hAnsi="Calibri"/>
                <w:b/>
                <w:color w:val="FFFFFF"/>
                <w:sz w:val="19"/>
              </w:rPr>
              <w:t>Metric Name</w:t>
            </w:r>
          </w:p>
        </w:tc>
        <w:tc>
          <w:tcPr>
            <w:tcW w:type="dxa" w:w="2592"/>
            <w:shd w:fill="1E3A8A"/>
            <w:tcMar>
              <w:top w:w="120" w:type="dxa"/>
              <w:bottom w:w="120" w:type="dxa"/>
              <w:left w:w="140" w:type="dxa"/>
              <w:right w:w="140" w:type="dxa"/>
            </w:tcMar>
            <w:vAlign w:val="center"/>
          </w:tcPr>
          <w:p>
            <w:pPr>
              <w:spacing w:before="40" w:after="40"/>
            </w:pPr>
            <w:r>
              <w:rPr>
                <w:rFonts w:ascii="Calibri" w:hAnsi="Calibri"/>
                <w:b/>
                <w:color w:val="FFFFFF"/>
                <w:sz w:val="19"/>
              </w:rPr>
              <w:t>Data Source / Win32 API</w:t>
            </w:r>
          </w:p>
        </w:tc>
        <w:tc>
          <w:tcPr>
            <w:tcW w:type="dxa" w:w="2592"/>
            <w:shd w:fill="1E3A8A"/>
            <w:tcMar>
              <w:top w:w="120" w:type="dxa"/>
              <w:bottom w:w="120" w:type="dxa"/>
              <w:left w:w="140" w:type="dxa"/>
              <w:right w:w="140" w:type="dxa"/>
            </w:tcMar>
            <w:vAlign w:val="center"/>
          </w:tcPr>
          <w:p>
            <w:pPr>
              <w:spacing w:before="40" w:after="40"/>
            </w:pPr>
            <w:r>
              <w:rPr>
                <w:rFonts w:ascii="Calibri" w:hAnsi="Calibri"/>
                <w:b/>
                <w:color w:val="FFFFFF"/>
                <w:sz w:val="19"/>
              </w:rPr>
              <w:t>Mathematical Derivation / Unit</w:t>
            </w:r>
          </w:p>
        </w:tc>
        <w:tc>
          <w:tcPr>
            <w:tcW w:type="dxa" w:w="1584"/>
            <w:shd w:fill="1E3A8A"/>
            <w:tcMar>
              <w:top w:w="120" w:type="dxa"/>
              <w:bottom w:w="120" w:type="dxa"/>
              <w:left w:w="140" w:type="dxa"/>
              <w:right w:w="140" w:type="dxa"/>
            </w:tcMar>
            <w:vAlign w:val="center"/>
          </w:tcPr>
          <w:p>
            <w:pPr>
              <w:spacing w:before="40" w:after="40"/>
            </w:pPr>
            <w:r>
              <w:rPr>
                <w:rFonts w:ascii="Calibri" w:hAnsi="Calibri"/>
                <w:b/>
                <w:color w:val="FFFFFF"/>
                <w:sz w:val="19"/>
              </w:rPr>
              <w:t>Sampling Interval</w:t>
            </w:r>
          </w:p>
        </w:tc>
        <w:tc>
          <w:tcPr>
            <w:tcW w:type="dxa" w:w="2160"/>
            <w:shd w:fill="1E3A8A"/>
            <w:tcMar>
              <w:top w:w="120" w:type="dxa"/>
              <w:bottom w:w="120" w:type="dxa"/>
              <w:left w:w="140" w:type="dxa"/>
              <w:right w:w="140" w:type="dxa"/>
            </w:tcMar>
            <w:vAlign w:val="center"/>
          </w:tcPr>
          <w:p>
            <w:pPr>
              <w:spacing w:before="40" w:after="40"/>
            </w:pPr>
            <w:r>
              <w:rPr>
                <w:rFonts w:ascii="Calibri" w:hAnsi="Calibri"/>
                <w:b/>
                <w:color w:val="FFFFFF"/>
                <w:sz w:val="19"/>
              </w:rPr>
              <w:t>Known Constraints</w:t>
            </w:r>
          </w:p>
        </w:tc>
      </w:tr>
      <w:tr>
        <w:trPr>
          <w:cantSplit/>
        </w:trPr>
        <w:tc>
          <w:tcPr>
            <w:tcW w:type="dxa" w:w="187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Global CPU %</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sysinfo (NtQuerySystemInformation)</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Normalized 0.0 - 100.0% across all logical cores</w:t>
            </w:r>
          </w:p>
        </w:tc>
        <w:tc>
          <w:tcPr>
            <w:tcW w:type="dxa" w:w="1584"/>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250ms - 2000ms (Dynamic)</w:t>
            </w:r>
          </w:p>
        </w:tc>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Subject to Nyquist aliasing if spikes &lt; interval.</w:t>
            </w:r>
          </w:p>
        </w:tc>
      </w:tr>
      <w:tr>
        <w:trPr>
          <w:cantSplit/>
        </w:trPr>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Core Breakdown</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sysinfo per-core counters</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Vector of individual core utilization percentages</w:t>
            </w:r>
          </w:p>
        </w:tc>
        <w:tc>
          <w:tcPr>
            <w:tcW w:type="dxa" w:w="1584"/>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250ms - 2000ms</w:t>
            </w:r>
          </w:p>
        </w:tc>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Core parking may report 0% on inactive cores.</w:t>
            </w:r>
          </w:p>
        </w:tc>
      </w:tr>
      <w:tr>
        <w:trPr>
          <w:cantSplit/>
        </w:trPr>
        <w:tc>
          <w:tcPr>
            <w:tcW w:type="dxa" w:w="187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Physical RAM</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sysinfo GlobalMemoryStatusEx</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Used = Total - Available; Percentage = Used / Total</w:t>
            </w:r>
          </w:p>
        </w:tc>
        <w:tc>
          <w:tcPr>
            <w:tcW w:type="dxa" w:w="1584"/>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250ms - 2000ms</w:t>
            </w:r>
          </w:p>
        </w:tc>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Excludes standby cache from used calculation.</w:t>
            </w:r>
          </w:p>
        </w:tc>
      </w:tr>
      <w:tr>
        <w:trPr>
          <w:cantSplit/>
        </w:trPr>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GPU VRAM</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DXGI IDXGIFactory1::EnumAdapters1</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DedicatedVideoMemory &amp; SharedSystemMemory in bytes</w:t>
            </w:r>
          </w:p>
        </w:tc>
        <w:tc>
          <w:tcPr>
            <w:tcW w:type="dxa" w:w="1584"/>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On refresh / Polling</w:t>
            </w:r>
          </w:p>
        </w:tc>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Utilization requires D3D12/PDH adapter binding.</w:t>
            </w:r>
          </w:p>
        </w:tc>
      </w:tr>
      <w:tr>
        <w:trPr>
          <w:cantSplit/>
        </w:trPr>
        <w:tc>
          <w:tcPr>
            <w:tcW w:type="dxa" w:w="187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Disk Throughput</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sysinfo DiskUsage counters</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DeltaBytes / DeltaSeconds (Bps, KB/s, MB/s)</w:t>
            </w:r>
          </w:p>
        </w:tc>
        <w:tc>
          <w:tcPr>
            <w:tcW w:type="dxa" w:w="1584"/>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250ms - 2000ms</w:t>
            </w:r>
          </w:p>
        </w:tc>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Represents process-accessible volumes only.</w:t>
            </w:r>
          </w:p>
        </w:tc>
      </w:tr>
      <w:tr>
        <w:trPr>
          <w:cantSplit/>
        </w:trPr>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Network RX/TX</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IP Helper GetAdaptersAddresses</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DeltaBytes / DeltaSeconds (Kbps, Mbps)</w:t>
            </w:r>
          </w:p>
        </w:tc>
        <w:tc>
          <w:tcPr>
            <w:tcW w:type="dxa" w:w="1584"/>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250ms - 2000ms</w:t>
            </w:r>
          </w:p>
        </w:tc>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Requires active socket traffic to register throughput.</w:t>
            </w:r>
          </w:p>
        </w:tc>
      </w:tr>
    </w:tbl>
    <w:p>
      <w:r>
        <w:br w:type="page"/>
      </w:r>
    </w:p>
    <w:p>
      <w:pPr>
        <w:keepNext/>
        <w:spacing w:before="360" w:after="120"/>
      </w:pPr>
      <w:r>
        <w:rPr>
          <w:rFonts w:ascii="Calibri" w:hAnsi="Calibri"/>
          <w:b/>
          <w:color w:val="1E3A8A"/>
          <w:sz w:val="32"/>
        </w:rPr>
        <w:t>6. Process Management, Hierarchy &amp; Safety Lifecycle</w:t>
      </w:r>
    </w:p>
    <w:p>
      <w:pPr>
        <w:spacing w:after="80" w:line="276" w:lineRule="auto"/>
      </w:pPr>
      <w:r>
        <w:rPr>
          <w:i w:val="0"/>
          <w:color w:val="1E293B"/>
        </w:rPr>
        <w:t>Managing processes on Windows requires navigating access control lists (ACLs), privilege elevation, and the risk of PID recycling. Snapse implements a rigorous process management pipeline designed to eliminate accidental system crashes or race conditions:</w:t>
      </w:r>
    </w:p>
    <w:p>
      <w:pPr>
        <w:spacing w:before="160" w:after="40"/>
        <w:jc w:val="center"/>
      </w:pPr>
      <w:r>
        <w:drawing>
          <wp:inline xmlns:a="http://schemas.openxmlformats.org/drawingml/2006/main" xmlns:pic="http://schemas.openxmlformats.org/drawingml/2006/picture">
            <wp:extent cx="5669280" cy="3347575"/>
            <wp:docPr id="3" name="Picture 3"/>
            <wp:cNvGraphicFramePr>
              <a:graphicFrameLocks noChangeAspect="1"/>
            </wp:cNvGraphicFramePr>
            <a:graphic>
              <a:graphicData uri="http://schemas.openxmlformats.org/drawingml/2006/picture">
                <pic:pic>
                  <pic:nvPicPr>
                    <pic:cNvPr id="0" name="diag3_process_enumeration.png"/>
                    <pic:cNvPicPr/>
                  </pic:nvPicPr>
                  <pic:blipFill>
                    <a:blip r:embed="rId13"/>
                    <a:stretch>
                      <a:fillRect/>
                    </a:stretch>
                  </pic:blipFill>
                  <pic:spPr>
                    <a:xfrm>
                      <a:off x="0" y="0"/>
                      <a:ext cx="5669280" cy="3347575"/>
                    </a:xfrm>
                    <a:prstGeom prst="rect"/>
                  </pic:spPr>
                </pic:pic>
              </a:graphicData>
            </a:graphic>
          </wp:inline>
        </w:drawing>
      </w:r>
    </w:p>
    <w:p>
      <w:pPr>
        <w:spacing w:before="40" w:after="160"/>
        <w:jc w:val="center"/>
      </w:pPr>
      <w:r>
        <w:rPr>
          <w:rFonts w:ascii="Calibri" w:hAnsi="Calibri"/>
          <w:i/>
          <w:color w:val="475569"/>
          <w:sz w:val="18"/>
        </w:rPr>
        <w:t>Figure 6.1: Process Discovery and Hierarchy Resolution, traversing active kernel EPROCESS tables and building expandable parent-child subtrees.</w:t>
      </w:r>
    </w:p>
    <w:p>
      <w:pPr>
        <w:keepNext/>
        <w:spacing w:before="240" w:after="80"/>
      </w:pPr>
      <w:r>
        <w:rPr>
          <w:rFonts w:ascii="Calibri" w:hAnsi="Calibri"/>
          <w:b/>
          <w:color w:val="334155"/>
          <w:sz w:val="26"/>
        </w:rPr>
        <w:t>6.1 Process Discovery and Tree Assembly</w:t>
      </w:r>
    </w:p>
    <w:p>
      <w:pPr>
        <w:spacing w:after="80" w:line="276" w:lineRule="auto"/>
      </w:pPr>
      <w:r>
        <w:rPr>
          <w:i w:val="0"/>
          <w:color w:val="1E293B"/>
        </w:rPr>
        <w:t>During every process refresh, the engine queries sysinfo::System::refresh_processes(), populating a HashMap of active processes. To construct the hierarchical process tree (ProcessTreeView), Snapse builds an adjacency map of parent PIDs to child PID lists. Roots are identified as processes whose parent PID is either 0 or no longer exists in the active process table. The tree is assembled recursively into ProcessTreeNode structures, preserving process lineage (e.g., explorer.exe -&gt; cmd.exe -&gt; cargo.exe).</w:t>
      </w:r>
    </w:p>
    <w:p>
      <w:pPr>
        <w:keepNext/>
        <w:spacing w:before="240" w:after="80"/>
      </w:pPr>
      <w:r>
        <w:rPr>
          <w:rFonts w:ascii="Calibri" w:hAnsi="Calibri"/>
          <w:b/>
          <w:color w:val="334155"/>
          <w:sz w:val="26"/>
        </w:rPr>
        <w:t>6.2 Safety Guard Verification Rules</w:t>
      </w:r>
    </w:p>
    <w:p>
      <w:pPr>
        <w:spacing w:after="80" w:line="276" w:lineRule="auto"/>
      </w:pPr>
      <w:r>
        <w:rPr>
          <w:i w:val="0"/>
          <w:color w:val="1E293B"/>
        </w:rPr>
        <w:t>Before executing any process modification or termination, Snapse executes validate_process_action(pid, expected_start_time) in src-tauri/src/platform/windows.rs:</w:t>
      </w:r>
    </w:p>
    <w:p>
      <w:pPr>
        <w:pStyle w:val="ListBullet"/>
        <w:spacing w:after="40" w:line="269" w:lineRule="auto"/>
        <w:ind w:left="360"/>
      </w:pPr>
      <w:r>
        <w:rPr>
          <w:b/>
          <w:color w:val="0F172A"/>
        </w:rPr>
        <w:t xml:space="preserve">System Idle Guard: </w:t>
      </w:r>
      <w:r>
        <w:rPr>
          <w:color w:val="1E293B"/>
        </w:rPr>
        <w:t>Rule 1: PID 0 (System Idle Process) termination is unconditionally rejected.</w:t>
      </w:r>
    </w:p>
    <w:p>
      <w:pPr>
        <w:pStyle w:val="ListBullet"/>
        <w:spacing w:after="40" w:line="269" w:lineRule="auto"/>
        <w:ind w:left="360"/>
      </w:pPr>
      <w:r>
        <w:rPr>
          <w:b/>
          <w:color w:val="0F172A"/>
        </w:rPr>
        <w:t xml:space="preserve">NT Kernel Guard: </w:t>
      </w:r>
      <w:r>
        <w:rPr>
          <w:color w:val="1E293B"/>
        </w:rPr>
        <w:t>Rule 2: PID 4 (Windows NT Kernel System) termination is unconditionally rejected.</w:t>
      </w:r>
    </w:p>
    <w:p>
      <w:pPr>
        <w:pStyle w:val="ListBullet"/>
        <w:spacing w:after="40" w:line="269" w:lineRule="auto"/>
        <w:ind w:left="360"/>
      </w:pPr>
      <w:r>
        <w:rPr>
          <w:b/>
          <w:color w:val="0F172A"/>
        </w:rPr>
        <w:t xml:space="preserve">Self-Protection Guard: </w:t>
      </w:r>
      <w:r>
        <w:rPr>
          <w:color w:val="1E293B"/>
        </w:rPr>
        <w:t>Rule 3: Self-termination (attempting to terminate Snapse from its own UI) is blocked to prevent unclean state corruption.</w:t>
      </w:r>
    </w:p>
    <w:p>
      <w:pPr>
        <w:pStyle w:val="ListBullet"/>
        <w:spacing w:after="40" w:line="269" w:lineRule="auto"/>
        <w:ind w:left="360"/>
      </w:pPr>
      <w:r>
        <w:rPr>
          <w:b/>
          <w:color w:val="0F172A"/>
        </w:rPr>
        <w:t xml:space="preserve">PID Recycling Guard: </w:t>
      </w:r>
      <w:r>
        <w:rPr>
          <w:color w:val="1E293B"/>
        </w:rPr>
        <w:t>Rule 4: To protect against Windows PID reuse (where a short-lived process terminates and the OS assigns its PID to a newly launched unrelated application), Snapse queries the process creation timestamp via GetProcessTimes(). If the recorded start time differs from the expected start time by more than 2 seconds, the action is aborted.</w:t>
      </w:r>
    </w:p>
    <w:p>
      <w:pPr>
        <w:spacing w:before="160" w:after="40"/>
        <w:jc w:val="center"/>
      </w:pPr>
      <w:r>
        <w:drawing>
          <wp:inline xmlns:a="http://schemas.openxmlformats.org/drawingml/2006/main" xmlns:pic="http://schemas.openxmlformats.org/drawingml/2006/picture">
            <wp:extent cx="5669280" cy="3671534"/>
            <wp:docPr id="4" name="Picture 4"/>
            <wp:cNvGraphicFramePr>
              <a:graphicFrameLocks noChangeAspect="1"/>
            </wp:cNvGraphicFramePr>
            <a:graphic>
              <a:graphicData uri="http://schemas.openxmlformats.org/drawingml/2006/picture">
                <pic:pic>
                  <pic:nvPicPr>
                    <pic:cNvPr id="0" name="diag4_process_safety_lifecycle.png"/>
                    <pic:cNvPicPr/>
                  </pic:nvPicPr>
                  <pic:blipFill>
                    <a:blip r:embed="rId14"/>
                    <a:stretch>
                      <a:fillRect/>
                    </a:stretch>
                  </pic:blipFill>
                  <pic:spPr>
                    <a:xfrm>
                      <a:off x="0" y="0"/>
                      <a:ext cx="5669280" cy="3671534"/>
                    </a:xfrm>
                    <a:prstGeom prst="rect"/>
                  </pic:spPr>
                </pic:pic>
              </a:graphicData>
            </a:graphic>
          </wp:inline>
        </w:drawing>
      </w:r>
    </w:p>
    <w:p>
      <w:pPr>
        <w:spacing w:before="40" w:after="160"/>
        <w:jc w:val="center"/>
      </w:pPr>
      <w:r>
        <w:rPr>
          <w:rFonts w:ascii="Calibri" w:hAnsi="Calibri"/>
          <w:i/>
          <w:color w:val="475569"/>
          <w:sz w:val="18"/>
        </w:rPr>
        <w:t>Figure 6.2: Safe Process Termination Lifecycle, showing pre-action validation and dispatch between graceful window closing and force termination.</w:t>
      </w:r>
    </w:p>
    <w:p>
      <w:pPr>
        <w:keepNext/>
        <w:spacing w:before="240" w:after="80"/>
      </w:pPr>
      <w:r>
        <w:rPr>
          <w:rFonts w:ascii="Calibri" w:hAnsi="Calibri"/>
          <w:b/>
          <w:color w:val="334155"/>
          <w:sz w:val="26"/>
        </w:rPr>
        <w:t>6.3 Graceful Close vs Force Termination</w:t>
      </w:r>
    </w:p>
    <w:p>
      <w:pPr>
        <w:pStyle w:val="ListBullet"/>
        <w:spacing w:after="40" w:line="269" w:lineRule="auto"/>
        <w:ind w:left="360"/>
      </w:pPr>
      <w:r>
        <w:rPr>
          <w:b/>
          <w:color w:val="0F172A"/>
        </w:rPr>
        <w:t xml:space="preserve">1. Graceful Close: </w:t>
      </w:r>
      <w:r>
        <w:rPr>
          <w:color w:val="1E293B"/>
        </w:rPr>
        <w:t>Graceful Close (request_close_process): Uses EnumWindows to locate all top-level HWND handles belonging to the target PID and posts WM_CLOSE via PostMessageW. This allows applications (such as Word or Notepad) to prompt the user to save unsaved work.</w:t>
      </w:r>
    </w:p>
    <w:p>
      <w:pPr>
        <w:pStyle w:val="ListBullet"/>
        <w:spacing w:after="40" w:line="269" w:lineRule="auto"/>
        <w:ind w:left="360"/>
      </w:pPr>
      <w:r>
        <w:rPr>
          <w:b/>
          <w:color w:val="0F172A"/>
        </w:rPr>
        <w:t xml:space="preserve">2. Force Terminate: </w:t>
      </w:r>
      <w:r>
        <w:rPr>
          <w:color w:val="1E293B"/>
        </w:rPr>
        <w:t>Force Termination (force_terminate_process): Opens the process handle with PROCESS_TERMINATE via OpenProcess and issues TerminateProcess(handle, 1). If the process is protected or requires elevation, an explanatory error is returned.</w:t>
      </w:r>
    </w:p>
    <w:p>
      <w:r>
        <w:br w:type="page"/>
      </w:r>
    </w:p>
    <w:p>
      <w:pPr>
        <w:keepNext/>
        <w:spacing w:before="360" w:after="120"/>
      </w:pPr>
      <w:r>
        <w:rPr>
          <w:rFonts w:ascii="Calibri" w:hAnsi="Calibri"/>
          <w:b/>
          <w:color w:val="1E3A8A"/>
          <w:sz w:val="32"/>
        </w:rPr>
        <w:t>7. Telemetry History, Alerts, Settings &amp; Export Engine</w:t>
      </w:r>
    </w:p>
    <w:p>
      <w:pPr>
        <w:spacing w:before="160" w:after="40"/>
        <w:jc w:val="center"/>
      </w:pPr>
      <w:r>
        <w:drawing>
          <wp:inline xmlns:a="http://schemas.openxmlformats.org/drawingml/2006/main" xmlns:pic="http://schemas.openxmlformats.org/drawingml/2006/picture">
            <wp:extent cx="5669280" cy="3347575"/>
            <wp:docPr id="5" name="Picture 5"/>
            <wp:cNvGraphicFramePr>
              <a:graphicFrameLocks noChangeAspect="1"/>
            </wp:cNvGraphicFramePr>
            <a:graphic>
              <a:graphicData uri="http://schemas.openxmlformats.org/drawingml/2006/picture">
                <pic:pic>
                  <pic:nvPicPr>
                    <pic:cNvPr id="0" name="diag5_history_alerts.png"/>
                    <pic:cNvPicPr/>
                  </pic:nvPicPr>
                  <pic:blipFill>
                    <a:blip r:embed="rId15"/>
                    <a:stretch>
                      <a:fillRect/>
                    </a:stretch>
                  </pic:blipFill>
                  <pic:spPr>
                    <a:xfrm>
                      <a:off x="0" y="0"/>
                      <a:ext cx="5669280" cy="3347575"/>
                    </a:xfrm>
                    <a:prstGeom prst="rect"/>
                  </pic:spPr>
                </pic:pic>
              </a:graphicData>
            </a:graphic>
          </wp:inline>
        </w:drawing>
      </w:r>
    </w:p>
    <w:p>
      <w:pPr>
        <w:spacing w:before="40" w:after="160"/>
        <w:jc w:val="center"/>
      </w:pPr>
      <w:r>
        <w:rPr>
          <w:rFonts w:ascii="Calibri" w:hAnsi="Calibri"/>
          <w:i/>
          <w:color w:val="475569"/>
          <w:sz w:val="18"/>
        </w:rPr>
        <w:t>Figure 7.1: Historical Ring Buffering, Sustained Alert Evaluation, and Data Export Architecture.</w:t>
      </w:r>
    </w:p>
    <w:p>
      <w:pPr>
        <w:keepNext/>
        <w:spacing w:before="240" w:after="80"/>
      </w:pPr>
      <w:r>
        <w:rPr>
          <w:rFonts w:ascii="Calibri" w:hAnsi="Calibri"/>
          <w:b/>
          <w:color w:val="334155"/>
          <w:sz w:val="26"/>
        </w:rPr>
        <w:t>7.1 Bounded Ring Buffers (HistoryManager)</w:t>
      </w:r>
    </w:p>
    <w:p>
      <w:pPr>
        <w:spacing w:after="80" w:line="276" w:lineRule="auto"/>
      </w:pPr>
      <w:r>
        <w:rPr>
          <w:i w:val="0"/>
          <w:color w:val="1E293B"/>
        </w:rPr>
        <w:t>To avoid unbounded memory growth, Snapse implements bounded FIFO ring buffers in src-tauri/src/history/buffer.rs:</w:t>
      </w:r>
    </w:p>
    <w:p>
      <w:pPr>
        <w:pStyle w:val="ListBullet"/>
        <w:spacing w:after="40" w:line="269" w:lineRule="auto"/>
        <w:ind w:left="360"/>
      </w:pPr>
      <w:r>
        <w:rPr>
          <w:b/>
          <w:color w:val="0F172A"/>
        </w:rPr>
        <w:t xml:space="preserve">System Buffer: </w:t>
      </w:r>
      <w:r>
        <w:rPr>
          <w:color w:val="1E293B"/>
        </w:rPr>
        <w:t>System History: Retains a fixed sliding window of up to 300 SystemHistoryPoint samples (5 minutes of telemetry at 1s intervals). When capacity is reached, the oldest sample is evicted in O(1) time.</w:t>
      </w:r>
    </w:p>
    <w:p>
      <w:pPr>
        <w:pStyle w:val="ListBullet"/>
        <w:spacing w:after="40" w:line="269" w:lineRule="auto"/>
        <w:ind w:left="360"/>
      </w:pPr>
      <w:r>
        <w:rPr>
          <w:b/>
          <w:color w:val="0F172A"/>
        </w:rPr>
        <w:t xml:space="preserve">Process Buffers: </w:t>
      </w:r>
      <w:r>
        <w:rPr>
          <w:color w:val="1E293B"/>
        </w:rPr>
        <w:t>Process History: Retains up to 60 samples per active process PID. When processes exit, cleanup_stale_processes() purges stale PID buffers, preventing memory leaks during rapid process churn.</w:t>
      </w:r>
    </w:p>
    <w:p>
      <w:pPr>
        <w:keepNext/>
        <w:spacing w:before="240" w:after="80"/>
      </w:pPr>
      <w:r>
        <w:rPr>
          <w:rFonts w:ascii="Calibri" w:hAnsi="Calibri"/>
          <w:b/>
          <w:color w:val="334155"/>
          <w:sz w:val="26"/>
        </w:rPr>
        <w:t>7.2 Sustained Alert Evaluation State Machine</w:t>
      </w:r>
    </w:p>
    <w:p>
      <w:pPr>
        <w:spacing w:after="80" w:line="276" w:lineRule="auto"/>
      </w:pPr>
      <w:r>
        <w:rPr>
          <w:i w:val="0"/>
          <w:color w:val="1E293B"/>
        </w:rPr>
        <w:t>To prevent transient microsecond spikes from flooding users with false-positive notifications, the AlertEvaluator (src-tauri/src/alerts/evaluator.rs) enforces a sustained-duration filter:</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18" w:space="0" w:color="3B82F6"/>
              <w:bottom w:val="single" w:sz="6" w:space="0" w:color="CBD5E1"/>
              <w:right w:val="single" w:sz="6" w:space="0" w:color="CBD5E1"/>
            </w:tcBorders>
          </w:tcPr>
          <w:p>
            <w:pPr>
              <w:spacing w:before="40" w:after="40" w:line="252" w:lineRule="auto"/>
            </w:pPr>
            <w:r>
              <w:rPr>
                <w:rFonts w:ascii="Consolas" w:hAnsi="Consolas"/>
                <w:color w:val="0F172A"/>
                <w:sz w:val="17"/>
              </w:rPr>
              <w:t>// Algorithm: Sustained Duration Alert Evaluation</w:t>
              <w:br/>
              <w:t>fn evaluate(timestamp_ms, cpu_usage, memory_percent, settings):</w:t>
              <w:br/>
              <w:t xml:space="preserve">    // 1. CPU Threshold Check</w:t>
              <w:br/>
              <w:t xml:space="preserve">    if cpu_usage &gt;= settings.alert_cpu_threshold:</w:t>
              <w:br/>
              <w:t xml:space="preserve">        if cpu_first_breached == 0:</w:t>
              <w:br/>
              <w:t xml:space="preserve">            cpu_first_breached = timestamp_ms</w:t>
              <w:br/>
              <w:t xml:space="preserve">        else if (timestamp_ms - cpu_first_breached) &gt;= (settings.alert_cpu_duration_seconds * 1000):</w:t>
              <w:br/>
              <w:t xml:space="preserve">            if !cpu_alert_fired:</w:t>
              <w:br/>
              <w:t xml:space="preserve">                fire_alert("CPU", cpu_usage)</w:t>
              <w:br/>
              <w:t xml:space="preserve">                cpu_alert_fired = true</w:t>
              <w:br/>
              <w:t xml:space="preserve">    else:</w:t>
              <w:br/>
              <w:t xml:space="preserve">        cpu_first_breached = 0</w:t>
              <w:br/>
              <w:t xml:space="preserve">        cpu_alert_fired = false  // Reset when condition clears</w:t>
              <w:br/>
            </w:r>
          </w:p>
        </w:tc>
      </w:tr>
    </w:tbl>
    <w:p>
      <w:pPr>
        <w:spacing w:before="0" w:after="80"/>
      </w:pPr>
    </w:p>
    <w:p>
      <w:pPr>
        <w:keepNext/>
        <w:spacing w:before="240" w:after="80"/>
      </w:pPr>
      <w:r>
        <w:rPr>
          <w:rFonts w:ascii="Calibri" w:hAnsi="Calibri"/>
          <w:b/>
          <w:color w:val="334155"/>
          <w:sz w:val="26"/>
        </w:rPr>
        <w:t>7.3 Data Export Pipeline</w:t>
      </w:r>
    </w:p>
    <w:p>
      <w:pPr>
        <w:spacing w:after="80" w:line="276" w:lineRule="auto"/>
      </w:pPr>
      <w:r>
        <w:rPr>
          <w:i w:val="0"/>
          <w:color w:val="1E293B"/>
        </w:rPr>
        <w:t>Snapse provides two export channels exposed via export_snapshot:</w:t>
      </w:r>
    </w:p>
    <w:p>
      <w:pPr>
        <w:pStyle w:val="ListBullet"/>
        <w:spacing w:after="40" w:line="269" w:lineRule="auto"/>
        <w:ind w:left="360"/>
      </w:pPr>
      <w:r>
        <w:rPr>
          <w:b/>
          <w:color w:val="0F172A"/>
        </w:rPr>
        <w:t xml:space="preserve">JSON Export: </w:t>
      </w:r>
      <w:r>
        <w:rPr>
          <w:color w:val="1E293B"/>
        </w:rPr>
        <w:t>JSON Snapshot: Dumps full structured telemetry, active processes, and history buffers into a formatted JSON payload.</w:t>
      </w:r>
    </w:p>
    <w:p>
      <w:pPr>
        <w:pStyle w:val="ListBullet"/>
        <w:spacing w:after="40" w:line="269" w:lineRule="auto"/>
        <w:ind w:left="360"/>
      </w:pPr>
      <w:r>
        <w:rPr>
          <w:b/>
          <w:color w:val="0F172A"/>
        </w:rPr>
        <w:t xml:space="preserve">CSV Export: </w:t>
      </w:r>
      <w:r>
        <w:rPr>
          <w:color w:val="1E293B"/>
        </w:rPr>
        <w:t>CSV Stream: Streams active processes, CPU %, memory in MB, and disk I/O into standard comma-separated tabular data suitable for Python/R analysis.</w:t>
      </w:r>
    </w:p>
    <w:p>
      <w:r>
        <w:br w:type="page"/>
      </w:r>
    </w:p>
    <w:p>
      <w:pPr>
        <w:keepNext/>
        <w:spacing w:before="360" w:after="120"/>
      </w:pPr>
      <w:r>
        <w:rPr>
          <w:rFonts w:ascii="Calibri" w:hAnsi="Calibri"/>
          <w:b/>
          <w:color w:val="1E3A8A"/>
          <w:sz w:val="32"/>
        </w:rPr>
        <w:t>8. User Interface, Controls &amp; 3D Visualization</w:t>
      </w:r>
    </w:p>
    <w:p>
      <w:pPr>
        <w:spacing w:after="80" w:line="276" w:lineRule="auto"/>
      </w:pPr>
      <w:r>
        <w:rPr>
          <w:i w:val="0"/>
          <w:color w:val="1E293B"/>
        </w:rPr>
        <w:t>The Snapse presentation layer is designed to provide professional desktop ergonomics while maintaining high rendering efficiency:</w:t>
      </w:r>
    </w:p>
    <w:p>
      <w:pPr>
        <w:pStyle w:val="ListBullet"/>
        <w:spacing w:after="40" w:line="269" w:lineRule="auto"/>
        <w:ind w:left="360"/>
      </w:pPr>
      <w:r>
        <w:rPr>
          <w:b/>
          <w:color w:val="0F172A"/>
        </w:rPr>
        <w:t xml:space="preserve">Native Title Bar Controls: </w:t>
      </w:r>
      <w:r>
        <w:rPr>
          <w:color w:val="1E293B"/>
        </w:rPr>
        <w:t>Frameless Custom Title Bar: Snapse runs with decorations: false, implementing a custom React TitleBar component. It hooks native Win32 window controls (window_minimize, window_toggle_maximize, window_close) directly via Tauri IPC, featuring interactive drag regions and maximize/restore toggle states.</w:t>
      </w:r>
    </w:p>
    <w:p>
      <w:pPr>
        <w:pStyle w:val="ListBullet"/>
        <w:spacing w:after="40" w:line="269" w:lineRule="auto"/>
        <w:ind w:left="360"/>
      </w:pPr>
      <w:r>
        <w:rPr>
          <w:b/>
          <w:color w:val="0F172A"/>
        </w:rPr>
        <w:t xml:space="preserve">System Overview: </w:t>
      </w:r>
      <w:r>
        <w:rPr>
          <w:color w:val="1E293B"/>
        </w:rPr>
        <w:t>Overview Dashboard: High-level system cards displaying real-time CPU, RAM, Disk, and Network usage alongside hardware identification details.</w:t>
      </w:r>
    </w:p>
    <w:p>
      <w:pPr>
        <w:pStyle w:val="ListBullet"/>
        <w:spacing w:after="40" w:line="269" w:lineRule="auto"/>
        <w:ind w:left="360"/>
      </w:pPr>
      <w:r>
        <w:rPr>
          <w:b/>
          <w:color w:val="0F172A"/>
        </w:rPr>
        <w:t xml:space="preserve">Performance Studio: </w:t>
      </w:r>
      <w:r>
        <w:rPr>
          <w:color w:val="1E293B"/>
        </w:rPr>
        <w:t>Performance Telemetry Studio: Dedicated multi-chart studio rendering real-time Canvas telemetry via Apache ECharts with interactive zooming and historical sliding windows.</w:t>
      </w:r>
    </w:p>
    <w:p>
      <w:pPr>
        <w:pStyle w:val="ListBullet"/>
        <w:spacing w:after="40" w:line="269" w:lineRule="auto"/>
        <w:ind w:left="360"/>
      </w:pPr>
      <w:r>
        <w:rPr>
          <w:b/>
          <w:color w:val="0F172A"/>
        </w:rPr>
        <w:t xml:space="preserve">Process Management Views: </w:t>
      </w:r>
      <w:r>
        <w:rPr>
          <w:color w:val="1E293B"/>
        </w:rPr>
        <w:t>Flat Process Manager &amp; Tree Inspector: Filterable process table with search, multi-column sorting, and an expandable hierarchical process tree.</w:t>
      </w:r>
    </w:p>
    <w:p>
      <w:pPr>
        <w:pStyle w:val="ListBullet"/>
        <w:spacing w:after="40" w:line="269" w:lineRule="auto"/>
        <w:ind w:left="360"/>
      </w:pPr>
      <w:r>
        <w:rPr>
          <w:b/>
          <w:color w:val="0F172A"/>
        </w:rPr>
        <w:t xml:space="preserve">3D Topology Visualization: </w:t>
      </w:r>
      <w:r>
        <w:rPr>
          <w:color w:val="1E293B"/>
        </w:rPr>
        <w:t>Interactive 3D Resource Topology: An interactive WebGL scene built with Three.js rendering hardware subsystems as interconnected 3D nodes that pulse dynamically with load.</w:t>
      </w:r>
    </w:p>
    <w:p>
      <w:pPr>
        <w:pStyle w:val="ListBullet"/>
        <w:spacing w:after="40" w:line="269" w:lineRule="auto"/>
        <w:ind w:left="360"/>
      </w:pPr>
      <w:r>
        <w:rPr>
          <w:b/>
          <w:color w:val="0F172A"/>
        </w:rPr>
        <w:t xml:space="preserve">Branding &amp; High-DPI Icons: </w:t>
      </w:r>
      <w:r>
        <w:rPr>
          <w:color w:val="1E293B"/>
        </w:rPr>
        <w:t>High-DPI Branding &amp; Iconography: Custom high-resolution application icons configured across Windows taskbar, start menu, and installer packaging contexts.</w:t>
      </w:r>
    </w:p>
    <w:p>
      <w:pPr>
        <w:keepNext/>
        <w:spacing w:before="360" w:after="120"/>
      </w:pPr>
      <w:r>
        <w:rPr>
          <w:rFonts w:ascii="Calibri" w:hAnsi="Calibri"/>
          <w:b/>
          <w:color w:val="1E3A8A"/>
          <w:sz w:val="32"/>
        </w:rPr>
        <w:t>9. Windows Build, Packaging &amp; Installer Architecture</w:t>
      </w:r>
    </w:p>
    <w:p>
      <w:pPr>
        <w:spacing w:before="160" w:after="40"/>
        <w:jc w:val="center"/>
      </w:pPr>
      <w:r>
        <w:drawing>
          <wp:inline xmlns:a="http://schemas.openxmlformats.org/drawingml/2006/main" xmlns:pic="http://schemas.openxmlformats.org/drawingml/2006/picture">
            <wp:extent cx="5669280" cy="3347575"/>
            <wp:docPr id="6" name="Picture 6"/>
            <wp:cNvGraphicFramePr>
              <a:graphicFrameLocks noChangeAspect="1"/>
            </wp:cNvGraphicFramePr>
            <a:graphic>
              <a:graphicData uri="http://schemas.openxmlformats.org/drawingml/2006/picture">
                <pic:pic>
                  <pic:nvPicPr>
                    <pic:cNvPr id="0" name="diag6_installer_packaging.png"/>
                    <pic:cNvPicPr/>
                  </pic:nvPicPr>
                  <pic:blipFill>
                    <a:blip r:embed="rId16"/>
                    <a:stretch>
                      <a:fillRect/>
                    </a:stretch>
                  </pic:blipFill>
                  <pic:spPr>
                    <a:xfrm>
                      <a:off x="0" y="0"/>
                      <a:ext cx="5669280" cy="3347575"/>
                    </a:xfrm>
                    <a:prstGeom prst="rect"/>
                  </pic:spPr>
                </pic:pic>
              </a:graphicData>
            </a:graphic>
          </wp:inline>
        </w:drawing>
      </w:r>
    </w:p>
    <w:p>
      <w:pPr>
        <w:spacing w:before="40" w:after="160"/>
        <w:jc w:val="center"/>
      </w:pPr>
      <w:r>
        <w:rPr>
          <w:rFonts w:ascii="Calibri" w:hAnsi="Calibri"/>
          <w:i/>
          <w:color w:val="475569"/>
          <w:sz w:val="18"/>
        </w:rPr>
        <w:t>Figure 9.1: Windows Packaging Pipeline, showing NSIS installer generation and WebView2Loader.dll dependency isolation.</w:t>
      </w:r>
    </w:p>
    <w:p>
      <w:pPr>
        <w:keepNext/>
        <w:spacing w:before="240" w:after="80"/>
      </w:pPr>
      <w:r>
        <w:rPr>
          <w:rFonts w:ascii="Calibri" w:hAnsi="Calibri"/>
          <w:b/>
          <w:color w:val="334155"/>
          <w:sz w:val="26"/>
        </w:rPr>
        <w:t>9.1 The Missing WebView2Loader.dll Packaging Defect &amp; Root Cause</w:t>
      </w:r>
    </w:p>
    <w:p>
      <w:pPr>
        <w:spacing w:after="80" w:line="276" w:lineRule="auto"/>
      </w:pPr>
      <w:r>
        <w:rPr>
          <w:i w:val="0"/>
          <w:color w:val="1E293B"/>
        </w:rPr>
        <w:t>During initial Windows distribution testing under the GNU/LLVM MinGW toolchain (x86_64-pc-windows-gnullvm), the distributed installer generated an executable that failed to launch on clean installations with the error:</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top w:val="none"/>
              <w:left w:val="single" w:sz="24" w:space="0" w:color="DC2626"/>
              <w:bottom w:val="none"/>
              <w:right w:val="none"/>
            </w:tcBorders>
          </w:tcPr>
          <w:p>
            <w:pPr>
              <w:spacing w:before="40" w:after="40" w:line="276" w:lineRule="auto"/>
            </w:pPr>
            <w:r>
              <w:rPr>
                <w:rFonts w:ascii="Calibri" w:hAnsi="Calibri"/>
                <w:b/>
                <w:color w:val="DC2626"/>
                <w:sz w:val="21"/>
              </w:rPr>
              <w:t>📌 Diagnosed Packaging Defect</w:t>
              <w:br/>
            </w:r>
            <w:r>
              <w:rPr>
                <w:rFonts w:ascii="Calibri" w:hAnsi="Calibri"/>
                <w:color w:val="1E293B"/>
                <w:sz w:val="20"/>
              </w:rPr>
              <w:t>The code execution cannot proceed because WebView2Loader.dll was not found. Reinstalling the program may fix this problem.</w:t>
            </w:r>
          </w:p>
        </w:tc>
      </w:tr>
    </w:tbl>
    <w:p>
      <w:pPr>
        <w:spacing w:before="0" w:after="80"/>
      </w:pPr>
    </w:p>
    <w:p>
      <w:pPr>
        <w:spacing w:after="80" w:line="276" w:lineRule="auto"/>
      </w:pPr>
      <w:r>
        <w:rPr>
          <w:i w:val="0"/>
          <w:color w:val="1E293B"/>
        </w:rPr>
        <w:t>Root-Cause Diagnosis: When targeting MSVC (x86_64-pc-windows-msvc), the Microsoft C++ linker statically embeds the WebView2 loader stub or resolves it from the Windows SDK. However, under the GNU/LLVM MinGW target, the webview2-com-sys crate links against WebView2Loader.dll dynamically. Because Tauri's standard NSIS script only packaged snapse.exe, the dependent DLL was absent from the installation directory ($INSTDIR).</w:t>
      </w:r>
    </w:p>
    <w:p>
      <w:pPr>
        <w:keepNext/>
        <w:spacing w:before="240" w:after="80"/>
      </w:pPr>
      <w:r>
        <w:rPr>
          <w:rFonts w:ascii="Calibri" w:hAnsi="Calibri"/>
          <w:b/>
          <w:color w:val="334155"/>
          <w:sz w:val="26"/>
        </w:rPr>
        <w:t>9.2 Verified Solution: Custom NSIS Installer Hooks</w:t>
      </w:r>
    </w:p>
    <w:p>
      <w:pPr>
        <w:spacing w:after="80" w:line="276" w:lineRule="auto"/>
      </w:pPr>
      <w:r>
        <w:rPr>
          <w:i w:val="0"/>
          <w:color w:val="1E293B"/>
        </w:rPr>
        <w:t>To resolve this permanently without requiring external toolchain modifications, custom NSIS hooks were engineered in src-tauri/nsis/hooks.nsh:</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18" w:space="0" w:color="3B82F6"/>
              <w:bottom w:val="single" w:sz="6" w:space="0" w:color="CBD5E1"/>
              <w:right w:val="single" w:sz="6" w:space="0" w:color="CBD5E1"/>
            </w:tcBorders>
          </w:tcPr>
          <w:p>
            <w:pPr>
              <w:spacing w:before="40" w:after="40" w:line="252" w:lineRule="auto"/>
            </w:pPr>
            <w:r>
              <w:rPr>
                <w:rFonts w:ascii="Consolas" w:hAnsi="Consolas"/>
                <w:color w:val="0F172A"/>
                <w:sz w:val="17"/>
              </w:rPr>
              <w:t>; Snapse NSIS Custom Installer Hooks</w:t>
              <w:br/>
              <w:t>!macro NSIS_HOOK_PREINSTALL</w:t>
              <w:br/>
              <w:t xml:space="preserve">  SetOutPath $INSTDIR</w:t>
              <w:br/>
              <w:t xml:space="preserve">  File "${__FILEDIR__}\..\..\WebView2Loader.dll"</w:t>
              <w:br/>
              <w:t xml:space="preserve">  File "${__FILEDIR__}\..\..\libunwind.dll"</w:t>
              <w:br/>
              <w:t>!macroend</w:t>
              <w:br/>
              <w:br/>
              <w:t>!macro NSIS_HOOK_POSTUNINSTALL</w:t>
              <w:br/>
              <w:t xml:space="preserve">  Delete "$INSTDIR\WebView2Loader.dll"</w:t>
              <w:br/>
              <w:t xml:space="preserve">  Delete "$INSTDIR\libunwind.dll"</w:t>
              <w:br/>
              <w:t>!macroend</w:t>
              <w:br/>
            </w:r>
          </w:p>
        </w:tc>
      </w:tr>
    </w:tbl>
    <w:p>
      <w:pPr>
        <w:spacing w:before="0" w:after="80"/>
      </w:pPr>
    </w:p>
    <w:p>
      <w:pPr>
        <w:spacing w:after="80" w:line="276" w:lineRule="auto"/>
      </w:pPr>
      <w:r>
        <w:rPr>
          <w:i w:val="0"/>
          <w:color w:val="1E293B"/>
        </w:rPr>
        <w:t>When npm run tauri build executes, the NSIS compiler embeds the verified 64-bit WebView2Loader.dll and libunwind.dll directly into the installer bundle. During installation, both DLLs are extracted into $INSTDIR adjacent to snapse.exe, guaranteeing seamless startup on any clean Windows 10/11 system without requiring external runtime installations. During uninstallation, both DLLs are cleanly removed.</w:t>
      </w:r>
    </w:p>
    <w:p>
      <w:r>
        <w:br w:type="page"/>
      </w:r>
    </w:p>
    <w:p>
      <w:pPr>
        <w:keepNext/>
        <w:spacing w:before="360" w:after="120"/>
      </w:pPr>
      <w:r>
        <w:rPr>
          <w:rFonts w:ascii="Calibri" w:hAnsi="Calibri"/>
          <w:b/>
          <w:color w:val="1E3A8A"/>
          <w:sz w:val="32"/>
        </w:rPr>
        <w:t>10. Testing &amp; Verification Matrix</w:t>
      </w:r>
    </w:p>
    <w:p>
      <w:pPr>
        <w:spacing w:after="80" w:line="276" w:lineRule="auto"/>
      </w:pPr>
      <w:r>
        <w:rPr>
          <w:i w:val="0"/>
          <w:color w:val="1E293B"/>
        </w:rPr>
        <w:t>Snapse enforces automated testing across backend units, integration hooks, safety guards, and packaging pipelines. The table below documents the verified test suites, expected behaviors, actual outcomes, and recorded verification evidence:</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2592"/>
            <w:shd w:fill="1E3A8A"/>
            <w:tcMar>
              <w:top w:w="120" w:type="dxa"/>
              <w:bottom w:w="120" w:type="dxa"/>
              <w:left w:w="140" w:type="dxa"/>
              <w:right w:w="140" w:type="dxa"/>
            </w:tcMar>
            <w:vAlign w:val="center"/>
          </w:tcPr>
          <w:p>
            <w:pPr>
              <w:spacing w:before="40" w:after="40"/>
            </w:pPr>
            <w:r>
              <w:rPr>
                <w:rFonts w:ascii="Calibri" w:hAnsi="Calibri"/>
                <w:b/>
                <w:color w:val="FFFFFF"/>
                <w:sz w:val="19"/>
              </w:rPr>
              <w:t>Test Suite / Function</w:t>
            </w:r>
          </w:p>
        </w:tc>
        <w:tc>
          <w:tcPr>
            <w:tcW w:type="dxa" w:w="1728"/>
            <w:shd w:fill="1E3A8A"/>
            <w:tcMar>
              <w:top w:w="120" w:type="dxa"/>
              <w:bottom w:w="120" w:type="dxa"/>
              <w:left w:w="140" w:type="dxa"/>
              <w:right w:w="140" w:type="dxa"/>
            </w:tcMar>
            <w:vAlign w:val="center"/>
          </w:tcPr>
          <w:p>
            <w:pPr>
              <w:spacing w:before="40" w:after="40"/>
            </w:pPr>
            <w:r>
              <w:rPr>
                <w:rFonts w:ascii="Calibri" w:hAnsi="Calibri"/>
                <w:b/>
                <w:color w:val="FFFFFF"/>
                <w:sz w:val="19"/>
              </w:rPr>
              <w:t>Component Tested</w:t>
            </w:r>
          </w:p>
        </w:tc>
        <w:tc>
          <w:tcPr>
            <w:tcW w:type="dxa" w:w="2592"/>
            <w:shd w:fill="1E3A8A"/>
            <w:tcMar>
              <w:top w:w="120" w:type="dxa"/>
              <w:bottom w:w="120" w:type="dxa"/>
              <w:left w:w="140" w:type="dxa"/>
              <w:right w:w="140" w:type="dxa"/>
            </w:tcMar>
            <w:vAlign w:val="center"/>
          </w:tcPr>
          <w:p>
            <w:pPr>
              <w:spacing w:before="40" w:after="40"/>
            </w:pPr>
            <w:r>
              <w:rPr>
                <w:rFonts w:ascii="Calibri" w:hAnsi="Calibri"/>
                <w:b/>
                <w:color w:val="FFFFFF"/>
                <w:sz w:val="19"/>
              </w:rPr>
              <w:t>Expected Behavior</w:t>
            </w:r>
          </w:p>
        </w:tc>
        <w:tc>
          <w:tcPr>
            <w:tcW w:type="dxa" w:w="2160"/>
            <w:shd w:fill="1E3A8A"/>
            <w:tcMar>
              <w:top w:w="120" w:type="dxa"/>
              <w:bottom w:w="120" w:type="dxa"/>
              <w:left w:w="140" w:type="dxa"/>
              <w:right w:w="140" w:type="dxa"/>
            </w:tcMar>
            <w:vAlign w:val="center"/>
          </w:tcPr>
          <w:p>
            <w:pPr>
              <w:spacing w:before="40" w:after="40"/>
            </w:pPr>
            <w:r>
              <w:rPr>
                <w:rFonts w:ascii="Calibri" w:hAnsi="Calibri"/>
                <w:b/>
                <w:color w:val="FFFFFF"/>
                <w:sz w:val="19"/>
              </w:rPr>
              <w:t>Actual Recorded Result</w:t>
            </w:r>
          </w:p>
        </w:tc>
        <w:tc>
          <w:tcPr>
            <w:tcW w:type="dxa" w:w="1728"/>
            <w:shd w:fill="1E3A8A"/>
            <w:tcMar>
              <w:top w:w="120" w:type="dxa"/>
              <w:bottom w:w="120" w:type="dxa"/>
              <w:left w:w="140" w:type="dxa"/>
              <w:right w:w="140" w:type="dxa"/>
            </w:tcMar>
            <w:vAlign w:val="center"/>
          </w:tcPr>
          <w:p>
            <w:pPr>
              <w:spacing w:before="40" w:after="40"/>
            </w:pPr>
            <w:r>
              <w:rPr>
                <w:rFonts w:ascii="Calibri" w:hAnsi="Calibri"/>
                <w:b/>
                <w:color w:val="FFFFFF"/>
                <w:sz w:val="19"/>
              </w:rPr>
              <w:t>Verification Status</w:t>
            </w:r>
          </w:p>
        </w:tc>
      </w:tr>
      <w:tr>
        <w:trPr>
          <w:cantSplit/>
        </w:trPr>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test_settings_default_and_serialization</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AppSettings</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Default values match specs; JSON serialize/deserialize cycle identical.</w:t>
            </w:r>
          </w:p>
        </w:tc>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Pass (1000ms interval, 85% CPU threshold, theme 'dark')</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Verified Passing</w:t>
            </w:r>
          </w:p>
        </w:tc>
      </w:tr>
      <w:tr>
        <w:trPr>
          <w:cantSplit/>
        </w:trPr>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test_history_buffer_limits</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HistoryManager</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Strict 5-sample capacity bound; oldest samples evicted in FIFO order.</w:t>
            </w:r>
          </w:p>
        </w:tc>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Pass (Oldest samples 0..4 evicted; exactly 5 retained)</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Verified Passing</w:t>
            </w:r>
          </w:p>
        </w:tc>
      </w:tr>
      <w:tr>
        <w:trPr>
          <w:cantSplit/>
        </w:trPr>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test_process_history_cleanup</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HistoryManager</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Exited PID history buffers are purged when active list updates.</w:t>
            </w:r>
          </w:p>
        </w:tc>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Pass (PID 200 purged; active PID 100 retained)</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Verified Passing</w:t>
            </w:r>
          </w:p>
        </w:tc>
      </w:tr>
      <w:tr>
        <w:trPr>
          <w:cantSplit/>
        </w:trPr>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test_alert_rule_evaluation</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AlertEvaluator</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Alert does not fire on spike &lt; 3s; fires when sustained &gt;= 3s.</w:t>
            </w:r>
          </w:p>
        </w:tc>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Pass (Alert fired at 4s, acknowledged successfully)</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Verified Passing</w:t>
            </w:r>
          </w:p>
        </w:tc>
      </w:tr>
      <w:tr>
        <w:trPr>
          <w:cantSplit/>
        </w:trPr>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test_process_safety_guards</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PlatformOps</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Rejects PID 0, PID 4, and current Snapse PID with descriptive errors.</w:t>
            </w:r>
          </w:p>
        </w:tc>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Pass (All 3 guarded actions safely blocked)</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Verified Passing</w:t>
            </w:r>
          </w:p>
        </w:tc>
      </w:tr>
      <w:tr>
        <w:trPr>
          <w:cantSplit/>
        </w:trPr>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test_live_process_lifecycle_actions</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PlatformOps</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Spawns child notepad, verifies PID start time, executes force terminate.</w:t>
            </w:r>
          </w:p>
        </w:tc>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Pass (Notepad spawned, verified, terminated; repeat fails)</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Verified Passing</w:t>
            </w:r>
          </w:p>
        </w:tc>
      </w:tr>
      <w:tr>
        <w:trPr>
          <w:cantSplit/>
        </w:trPr>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test_csv_export_formatting</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Export Engine</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Serializes process records into valid RFC 4180 CSV header and rows.</w:t>
            </w:r>
          </w:p>
        </w:tc>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Pass (Generated valid multi-column CSV string)</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Verified Passing</w:t>
            </w:r>
          </w:p>
        </w:tc>
      </w:tr>
      <w:tr>
        <w:trPr>
          <w:cantSplit/>
        </w:trPr>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test_settings_file_persistence_on_disk</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Settings Store</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Writes settings.json to filesystem and reads back exact values.</w:t>
            </w:r>
          </w:p>
        </w:tc>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Pass (Persisted and loaded 2500ms / 92.5% CPU)</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Verified Passing</w:t>
            </w:r>
          </w:p>
        </w:tc>
      </w:tr>
      <w:tr>
        <w:trPr>
          <w:cantSplit/>
        </w:trPr>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test_controller_idle_to_active_escalation</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VolatilityController</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High metric volatility triggers immediate escalation to ACTIVE (250ms).</w:t>
            </w:r>
          </w:p>
        </w:tc>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Pass (Escalated to ACTIVE, cooldown counter set to 4)</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Verified Passing</w:t>
            </w:r>
          </w:p>
        </w:tc>
      </w:tr>
      <w:tr>
        <w:trPr>
          <w:cantSplit/>
        </w:trPr>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test_controller_cooldown_prevents_immediate_drop</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VolatilityController</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Cooldown cycles prevent flapping back to IDLE when load subsides.</w:t>
            </w:r>
          </w:p>
        </w:tc>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Pass (Maintained ACTIVE/NORMAL across cooldown window)</w:t>
            </w:r>
          </w:p>
        </w:tc>
        <w:tc>
          <w:tcPr>
            <w:tcW w:type="dxa" w:w="1728"/>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Verified Passing</w:t>
            </w:r>
          </w:p>
        </w:tc>
      </w:tr>
      <w:tr>
        <w:trPr>
          <w:cantSplit/>
        </w:trPr>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Frontend Production Build</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TypeScript + Vite</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Zero TypeScript compilation errors; minified chunks output to dist/.</w:t>
            </w:r>
          </w:p>
        </w:tc>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Pass (0 errors, minified JS/CSS bundle generated)</w:t>
            </w:r>
          </w:p>
        </w:tc>
        <w:tc>
          <w:tcPr>
            <w:tcW w:type="dxa" w:w="1728"/>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Verified Passing</w:t>
            </w:r>
          </w:p>
        </w:tc>
      </w:tr>
    </w:tbl>
    <w:p>
      <w:r>
        <w:br w:type="page"/>
      </w:r>
    </w:p>
    <w:p>
      <w:pPr>
        <w:keepNext/>
        <w:spacing w:before="360" w:after="120"/>
      </w:pPr>
      <w:r>
        <w:rPr>
          <w:rFonts w:ascii="Calibri" w:hAnsi="Calibri"/>
          <w:b/>
          <w:color w:val="1E3A8A"/>
          <w:sz w:val="32"/>
        </w:rPr>
        <w:t>11. Research Gap, Novelty &amp; Theoretical Foundations</w:t>
      </w:r>
    </w:p>
    <w:p>
      <w:pPr>
        <w:keepNext/>
        <w:spacing w:before="240" w:after="80"/>
      </w:pPr>
      <w:r>
        <w:rPr>
          <w:rFonts w:ascii="Calibri" w:hAnsi="Calibri"/>
          <w:b/>
          <w:color w:val="334155"/>
          <w:sz w:val="26"/>
        </w:rPr>
        <w:t>11.1 The Observer Effect in Desktop System Monitoring</w:t>
      </w:r>
    </w:p>
    <w:p>
      <w:pPr>
        <w:spacing w:after="80" w:line="276" w:lineRule="auto"/>
      </w:pPr>
      <w:r>
        <w:rPr>
          <w:i w:val="0"/>
          <w:color w:val="1E293B"/>
        </w:rPr>
        <w:t>The fundamental theoretical challenge in software performance measurement is that the observer perturbs the system being observed (Malony, Reed, &amp; Wijshoff, 1992; Mytkowicz et al., 2010). On modern Windows NT platforms, polling system state requires kernel mode switches, process table locks (EPROCESS traversal), memory allocations, and multi-process IPC serialization. The total observer overhead is expressed as: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18" w:space="0" w:color="3B82F6"/>
              <w:bottom w:val="single" w:sz="6" w:space="0" w:color="CBD5E1"/>
              <w:right w:val="single" w:sz="6" w:space="0" w:color="CBD5E1"/>
            </w:tcBorders>
          </w:tcPr>
          <w:p>
            <w:pPr>
              <w:spacing w:before="40" w:after="40" w:line="252" w:lineRule="auto"/>
            </w:pPr>
            <w:r>
              <w:rPr>
                <w:rFonts w:ascii="Consolas" w:hAnsi="Consolas"/>
                <w:color w:val="0F172A"/>
                <w:sz w:val="17"/>
              </w:rPr>
              <w:t>O_total = O_kernel_poll(T) + O_serialize(P) + O_IPC + O_render</w:t>
            </w:r>
          </w:p>
        </w:tc>
      </w:tr>
    </w:tbl>
    <w:p>
      <w:pPr>
        <w:spacing w:before="0" w:after="80"/>
      </w:pPr>
    </w:p>
    <w:p>
      <w:pPr>
        <w:spacing w:after="80" w:line="276" w:lineRule="auto"/>
      </w:pPr>
      <w:r>
        <w:rPr>
          <w:i w:val="0"/>
          <w:color w:val="1E293B"/>
        </w:rPr>
        <w:t>where T is the sampling interval and P is the active process count. High-frequency polling (T = 250ms) forces 4 full collection cycles per second, multiplying CPU cache pollution and waking CPU cores from low-power C-states.</w:t>
      </w:r>
    </w:p>
    <w:p>
      <w:pPr>
        <w:keepNext/>
        <w:spacing w:before="240" w:after="80"/>
      </w:pPr>
      <w:r>
        <w:rPr>
          <w:rFonts w:ascii="Calibri" w:hAnsi="Calibri"/>
          <w:b/>
          <w:color w:val="334155"/>
          <w:sz w:val="26"/>
        </w:rPr>
        <w:t>11.2 Detailed Comparison with Mertz &amp; Nunes (2023)</w:t>
      </w:r>
    </w:p>
    <w:p>
      <w:pPr>
        <w:spacing w:after="80" w:line="276" w:lineRule="auto"/>
      </w:pPr>
      <w:r>
        <w:rPr>
          <w:i w:val="0"/>
          <w:color w:val="1E293B"/>
        </w:rPr>
        <w:t>Prior literature in the Journal of Systems and Software (Mertz &amp; Nunes, 2023) developed an adaptive sampling rate algorithm for runtime monitoring of execution traces in Java applications. While foundational, Snapse differs across four fundamental systems dimensions: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160"/>
            <w:shd w:fill="1E3A8A"/>
            <w:tcMar>
              <w:top w:w="120" w:type="dxa"/>
              <w:bottom w:w="120" w:type="dxa"/>
              <w:left w:w="140" w:type="dxa"/>
              <w:right w:w="140" w:type="dxa"/>
            </w:tcMar>
            <w:vAlign w:val="center"/>
          </w:tcPr>
          <w:p>
            <w:pPr>
              <w:spacing w:before="40" w:after="40"/>
            </w:pPr>
            <w:r>
              <w:rPr>
                <w:rFonts w:ascii="Calibri" w:hAnsi="Calibri"/>
                <w:b/>
                <w:color w:val="FFFFFF"/>
                <w:sz w:val="19"/>
              </w:rPr>
              <w:t>Dimension</w:t>
            </w:r>
          </w:p>
        </w:tc>
        <w:tc>
          <w:tcPr>
            <w:tcW w:type="dxa" w:w="3600"/>
            <w:shd w:fill="1E3A8A"/>
            <w:tcMar>
              <w:top w:w="120" w:type="dxa"/>
              <w:bottom w:w="120" w:type="dxa"/>
              <w:left w:w="140" w:type="dxa"/>
              <w:right w:w="140" w:type="dxa"/>
            </w:tcMar>
            <w:vAlign w:val="center"/>
          </w:tcPr>
          <w:p>
            <w:pPr>
              <w:spacing w:before="40" w:after="40"/>
            </w:pPr>
            <w:r>
              <w:rPr>
                <w:rFonts w:ascii="Calibri" w:hAnsi="Calibri"/>
                <w:b/>
                <w:color w:val="FFFFFF"/>
                <w:sz w:val="19"/>
              </w:rPr>
              <w:t>Mertz &amp; Nunes (JSS 2023)</w:t>
            </w:r>
          </w:p>
        </w:tc>
        <w:tc>
          <w:tcPr>
            <w:tcW w:type="dxa" w:w="3600"/>
            <w:shd w:fill="1E3A8A"/>
            <w:tcMar>
              <w:top w:w="120" w:type="dxa"/>
              <w:bottom w:w="120" w:type="dxa"/>
              <w:left w:w="140" w:type="dxa"/>
              <w:right w:w="140" w:type="dxa"/>
            </w:tcMar>
            <w:vAlign w:val="center"/>
          </w:tcPr>
          <w:p>
            <w:pPr>
              <w:spacing w:before="40" w:after="40"/>
            </w:pPr>
            <w:r>
              <w:rPr>
                <w:rFonts w:ascii="Calibri" w:hAnsi="Calibri"/>
                <w:b/>
                <w:color w:val="FFFFFF"/>
                <w:sz w:val="19"/>
              </w:rPr>
              <w:t>Snapse Windows NT Research Framework</w:t>
            </w:r>
          </w:p>
        </w:tc>
      </w:tr>
      <w:tr>
        <w:trPr>
          <w:cantSplit/>
        </w:trPr>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Target System Layer</w:t>
            </w:r>
          </w:p>
        </w:tc>
        <w:tc>
          <w:tcPr>
            <w:tcW w:type="dxa" w:w="360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Managed JVM runtime; instruments bytecode method invocation traces.</w:t>
            </w:r>
          </w:p>
        </w:tc>
        <w:tc>
          <w:tcPr>
            <w:tcW w:type="dxa" w:w="360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Native Windows NT OS kernel; interrogates global EPROCESS tables, hardware DXGI, and network drivers.</w:t>
            </w:r>
          </w:p>
        </w:tc>
      </w:tr>
      <w:tr>
        <w:trPr>
          <w:cantSplit/>
        </w:trPr>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Cost Structure</w:t>
            </w:r>
          </w:p>
        </w:tc>
        <w:tc>
          <w:tcPr>
            <w:tcW w:type="dxa" w:w="360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Dominated by in-process method execution counters and object allocations.</w:t>
            </w:r>
          </w:p>
        </w:tc>
        <w:tc>
          <w:tcPr>
            <w:tcW w:type="dxa" w:w="360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Dominated by user-to-kernel mode switches, spinlock acquisition, and inter-process IPC serialization.</w:t>
            </w:r>
          </w:p>
        </w:tc>
      </w:tr>
      <w:tr>
        <w:trPr>
          <w:cantSplit/>
        </w:trPr>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Optimization Goal</w:t>
            </w:r>
          </w:p>
        </w:tc>
        <w:tc>
          <w:tcPr>
            <w:tcW w:type="dxa" w:w="360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Minimizing Root Mean Squared Error (RMSE) of method frequency estimations over long runs.</w:t>
            </w:r>
          </w:p>
        </w:tc>
        <w:tc>
          <w:tcPr>
            <w:tcW w:type="dxa" w:w="360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Detecting sudden, localized transient resource bursts (2s - 5s) while bounding idle monitor CPU footprint.</w:t>
            </w:r>
          </w:p>
        </w:tc>
      </w:tr>
      <w:tr>
        <w:trPr>
          <w:cantSplit/>
        </w:trPr>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Controller Mechanics</w:t>
            </w:r>
          </w:p>
        </w:tc>
        <w:tc>
          <w:tcPr>
            <w:tcW w:type="dxa" w:w="360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Continuous mathematical rate adaptation based on trace frequency variance.</w:t>
            </w:r>
          </w:p>
        </w:tc>
        <w:tc>
          <w:tcPr>
            <w:tcW w:type="dxa" w:w="360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Discrete Finite State Machine (FSM) governed by dual-threshold hysteresis and cool-down decay, eliminating telemetry flapping.</w:t>
            </w:r>
          </w:p>
        </w:tc>
      </w:tr>
    </w:tbl>
    <w:p>
      <w:pPr>
        <w:keepNext/>
        <w:spacing w:before="240" w:after="80"/>
      </w:pPr>
      <w:r>
        <w:rPr>
          <w:rFonts w:ascii="Calibri" w:hAnsi="Calibri"/>
          <w:b/>
          <w:color w:val="334155"/>
          <w:sz w:val="26"/>
        </w:rPr>
        <w:t>11.3 Multi-Objective Pareto Analysis &amp; Experimental Visualizations</w:t>
      </w:r>
    </w:p>
    <w:p>
      <w:pPr>
        <w:spacing w:after="80" w:line="276" w:lineRule="auto"/>
      </w:pPr>
      <w:r>
        <w:rPr>
          <w:i w:val="0"/>
          <w:color w:val="1E293B"/>
        </w:rPr>
        <w:t>To rigorously characterize the performance trade-offs, Snapse was evaluated across five sampling configurations: Fixed 250ms, Fixed 500ms, Fixed 1000ms, Fixed 2000ms, and the Volatility-Aware Adaptive Controller (VAC). The nine figures below document these empirical relationships:</w:t>
      </w:r>
    </w:p>
    <w:p>
      <w:pPr>
        <w:spacing w:before="160" w:after="40"/>
        <w:jc w:val="center"/>
      </w:pPr>
      <w:r>
        <w:drawing>
          <wp:inline xmlns:a="http://schemas.openxmlformats.org/drawingml/2006/main" xmlns:pic="http://schemas.openxmlformats.org/drawingml/2006/picture">
            <wp:extent cx="5486400" cy="2743200"/>
            <wp:docPr id="7" name="Picture 7"/>
            <wp:cNvGraphicFramePr>
              <a:graphicFrameLocks noChangeAspect="1"/>
            </wp:cNvGraphicFramePr>
            <a:graphic>
              <a:graphicData uri="http://schemas.openxmlformats.org/drawingml/2006/picture">
                <pic:pic>
                  <pic:nvPicPr>
                    <pic:cNvPr id="0" name="fig1_architecture.png"/>
                    <pic:cNvPicPr/>
                  </pic:nvPicPr>
                  <pic:blipFill>
                    <a:blip r:embed="rId17"/>
                    <a:stretch>
                      <a:fillRect/>
                    </a:stretch>
                  </pic:blipFill>
                  <pic:spPr>
                    <a:xfrm>
                      <a:off x="0" y="0"/>
                      <a:ext cx="5486400" cy="2743200"/>
                    </a:xfrm>
                    <a:prstGeom prst="rect"/>
                  </pic:spPr>
                </pic:pic>
              </a:graphicData>
            </a:graphic>
          </wp:inline>
        </w:drawing>
      </w:r>
    </w:p>
    <w:p>
      <w:pPr>
        <w:spacing w:before="40" w:after="160"/>
        <w:jc w:val="center"/>
      </w:pPr>
      <w:r>
        <w:rPr>
          <w:rFonts w:ascii="Calibri" w:hAnsi="Calibri"/>
          <w:i/>
          <w:color w:val="475569"/>
          <w:sz w:val="18"/>
        </w:rPr>
        <w:t>Figure 11.1: Empirical Benchmarking Harness and Telemetry Flow across Host Workloads.</w:t>
      </w:r>
    </w:p>
    <w:p>
      <w:pPr>
        <w:spacing w:before="160" w:after="40"/>
        <w:jc w:val="center"/>
      </w:pPr>
      <w:r>
        <w:drawing>
          <wp:inline xmlns:a="http://schemas.openxmlformats.org/drawingml/2006/main" xmlns:pic="http://schemas.openxmlformats.org/drawingml/2006/picture">
            <wp:extent cx="5486400" cy="2438400"/>
            <wp:docPr id="8" name="Picture 8"/>
            <wp:cNvGraphicFramePr>
              <a:graphicFrameLocks noChangeAspect="1"/>
            </wp:cNvGraphicFramePr>
            <a:graphic>
              <a:graphicData uri="http://schemas.openxmlformats.org/drawingml/2006/picture">
                <pic:pic>
                  <pic:nvPicPr>
                    <pic:cNvPr id="0" name="fig2_timeline_comparison.png"/>
                    <pic:cNvPicPr/>
                  </pic:nvPicPr>
                  <pic:blipFill>
                    <a:blip r:embed="rId18"/>
                    <a:stretch>
                      <a:fillRect/>
                    </a:stretch>
                  </pic:blipFill>
                  <pic:spPr>
                    <a:xfrm>
                      <a:off x="0" y="0"/>
                      <a:ext cx="5486400" cy="2438400"/>
                    </a:xfrm>
                    <a:prstGeom prst="rect"/>
                  </pic:spPr>
                </pic:pic>
              </a:graphicData>
            </a:graphic>
          </wp:inline>
        </w:drawing>
      </w:r>
    </w:p>
    <w:p>
      <w:pPr>
        <w:spacing w:before="40" w:after="160"/>
        <w:jc w:val="center"/>
      </w:pPr>
      <w:r>
        <w:rPr>
          <w:rFonts w:ascii="Calibri" w:hAnsi="Calibri"/>
          <w:i/>
          <w:color w:val="475569"/>
          <w:sz w:val="18"/>
        </w:rPr>
        <w:t>Figure 11.2: Timeline Comparison of Static vs Adaptive Sampling over Transient CPU Bursts.</w:t>
      </w:r>
    </w:p>
    <w:p>
      <w:pPr>
        <w:spacing w:before="160" w:after="40"/>
        <w:jc w:val="center"/>
      </w:pPr>
      <w:r>
        <w:drawing>
          <wp:inline xmlns:a="http://schemas.openxmlformats.org/drawingml/2006/main" xmlns:pic="http://schemas.openxmlformats.org/drawingml/2006/picture">
            <wp:extent cx="5303520" cy="2651760"/>
            <wp:docPr id="9" name="Picture 9"/>
            <wp:cNvGraphicFramePr>
              <a:graphicFrameLocks noChangeAspect="1"/>
            </wp:cNvGraphicFramePr>
            <a:graphic>
              <a:graphicData uri="http://schemas.openxmlformats.org/drawingml/2006/picture">
                <pic:pic>
                  <pic:nvPicPr>
                    <pic:cNvPr id="0" name="fig3_cpu_overhead.png"/>
                    <pic:cNvPicPr/>
                  </pic:nvPicPr>
                  <pic:blipFill>
                    <a:blip r:embed="rId19"/>
                    <a:stretch>
                      <a:fillRect/>
                    </a:stretch>
                  </pic:blipFill>
                  <pic:spPr>
                    <a:xfrm>
                      <a:off x="0" y="0"/>
                      <a:ext cx="5303520" cy="2651760"/>
                    </a:xfrm>
                    <a:prstGeom prst="rect"/>
                  </pic:spPr>
                </pic:pic>
              </a:graphicData>
            </a:graphic>
          </wp:inline>
        </w:drawing>
      </w:r>
    </w:p>
    <w:p>
      <w:pPr>
        <w:spacing w:before="40" w:after="160"/>
        <w:jc w:val="center"/>
      </w:pPr>
      <w:r>
        <w:rPr>
          <w:rFonts w:ascii="Calibri" w:hAnsi="Calibri"/>
          <w:i/>
          <w:color w:val="475569"/>
          <w:sz w:val="18"/>
        </w:rPr>
        <w:t>Figure 11.3: Monitor CPU Overhead Scaling Across Static and Adaptive Configurations.</w:t>
      </w:r>
    </w:p>
    <w:p>
      <w:pPr>
        <w:spacing w:before="160" w:after="40"/>
        <w:jc w:val="center"/>
      </w:pPr>
      <w:r>
        <w:drawing>
          <wp:inline xmlns:a="http://schemas.openxmlformats.org/drawingml/2006/main" xmlns:pic="http://schemas.openxmlformats.org/drawingml/2006/picture">
            <wp:extent cx="5303520" cy="2651760"/>
            <wp:docPr id="10" name="Picture 10"/>
            <wp:cNvGraphicFramePr>
              <a:graphicFrameLocks noChangeAspect="1"/>
            </wp:cNvGraphicFramePr>
            <a:graphic>
              <a:graphicData uri="http://schemas.openxmlformats.org/drawingml/2006/picture">
                <pic:pic>
                  <pic:nvPicPr>
                    <pic:cNvPr id="0" name="fig4_memory_footprint.png"/>
                    <pic:cNvPicPr/>
                  </pic:nvPicPr>
                  <pic:blipFill>
                    <a:blip r:embed="rId20"/>
                    <a:stretch>
                      <a:fillRect/>
                    </a:stretch>
                  </pic:blipFill>
                  <pic:spPr>
                    <a:xfrm>
                      <a:off x="0" y="0"/>
                      <a:ext cx="5303520" cy="2651760"/>
                    </a:xfrm>
                    <a:prstGeom prst="rect"/>
                  </pic:spPr>
                </pic:pic>
              </a:graphicData>
            </a:graphic>
          </wp:inline>
        </w:drawing>
      </w:r>
    </w:p>
    <w:p>
      <w:pPr>
        <w:spacing w:before="40" w:after="160"/>
        <w:jc w:val="center"/>
      </w:pPr>
      <w:r>
        <w:rPr>
          <w:rFonts w:ascii="Calibri" w:hAnsi="Calibri"/>
          <w:i/>
          <w:color w:val="475569"/>
          <w:sz w:val="18"/>
        </w:rPr>
        <w:t>Figure 11.4: Private Working Set Memory Footprint Stability across Sampling Frequencies.</w:t>
      </w:r>
    </w:p>
    <w:p>
      <w:pPr>
        <w:spacing w:before="160" w:after="40"/>
        <w:jc w:val="center"/>
      </w:pPr>
      <w:r>
        <w:drawing>
          <wp:inline xmlns:a="http://schemas.openxmlformats.org/drawingml/2006/main" xmlns:pic="http://schemas.openxmlformats.org/drawingml/2006/picture">
            <wp:extent cx="5486400" cy="2194560"/>
            <wp:docPr id="11" name="Picture 11"/>
            <wp:cNvGraphicFramePr>
              <a:graphicFrameLocks noChangeAspect="1"/>
            </wp:cNvGraphicFramePr>
            <a:graphic>
              <a:graphicData uri="http://schemas.openxmlformats.org/drawingml/2006/picture">
                <pic:pic>
                  <pic:nvPicPr>
                    <pic:cNvPr id="0" name="fig5_timing_jitter.png"/>
                    <pic:cNvPicPr/>
                  </pic:nvPicPr>
                  <pic:blipFill>
                    <a:blip r:embed="rId21"/>
                    <a:stretch>
                      <a:fillRect/>
                    </a:stretch>
                  </pic:blipFill>
                  <pic:spPr>
                    <a:xfrm>
                      <a:off x="0" y="0"/>
                      <a:ext cx="5486400" cy="2194560"/>
                    </a:xfrm>
                    <a:prstGeom prst="rect"/>
                  </pic:spPr>
                </pic:pic>
              </a:graphicData>
            </a:graphic>
          </wp:inline>
        </w:drawing>
      </w:r>
    </w:p>
    <w:p>
      <w:pPr>
        <w:spacing w:before="40" w:after="160"/>
        <w:jc w:val="center"/>
      </w:pPr>
      <w:r>
        <w:rPr>
          <w:rFonts w:ascii="Calibri" w:hAnsi="Calibri"/>
          <w:i/>
          <w:color w:val="475569"/>
          <w:sz w:val="18"/>
        </w:rPr>
        <w:t>Figure 11.5: Empirical Sampling Interval Distribution and Timer Jitter on Windows NT.</w:t>
      </w:r>
    </w:p>
    <w:p>
      <w:pPr>
        <w:spacing w:before="160" w:after="40"/>
        <w:jc w:val="center"/>
      </w:pPr>
      <w:r>
        <w:drawing>
          <wp:inline xmlns:a="http://schemas.openxmlformats.org/drawingml/2006/main" xmlns:pic="http://schemas.openxmlformats.org/drawingml/2006/picture">
            <wp:extent cx="5486400" cy="2194560"/>
            <wp:docPr id="12" name="Picture 12"/>
            <wp:cNvGraphicFramePr>
              <a:graphicFrameLocks noChangeAspect="1"/>
            </wp:cNvGraphicFramePr>
            <a:graphic>
              <a:graphicData uri="http://schemas.openxmlformats.org/drawingml/2006/picture">
                <pic:pic>
                  <pic:nvPicPr>
                    <pic:cNvPr id="0" name="fig6_fidelity_mae_pearson.png"/>
                    <pic:cNvPicPr/>
                  </pic:nvPicPr>
                  <pic:blipFill>
                    <a:blip r:embed="rId22"/>
                    <a:stretch>
                      <a:fillRect/>
                    </a:stretch>
                  </pic:blipFill>
                  <pic:spPr>
                    <a:xfrm>
                      <a:off x="0" y="0"/>
                      <a:ext cx="5486400" cy="2194560"/>
                    </a:xfrm>
                    <a:prstGeom prst="rect"/>
                  </pic:spPr>
                </pic:pic>
              </a:graphicData>
            </a:graphic>
          </wp:inline>
        </w:drawing>
      </w:r>
    </w:p>
    <w:p>
      <w:pPr>
        <w:spacing w:before="40" w:after="160"/>
        <w:jc w:val="center"/>
      </w:pPr>
      <w:r>
        <w:rPr>
          <w:rFonts w:ascii="Calibri" w:hAnsi="Calibri"/>
          <w:i/>
          <w:color w:val="475569"/>
          <w:sz w:val="18"/>
        </w:rPr>
        <w:t>Figure 11.6: Metric Fidelity Analysis: Mean Absolute Error (MAE) and Pearson Correlation vs Ground Truth.</w:t>
      </w:r>
    </w:p>
    <w:p>
      <w:pPr>
        <w:spacing w:before="160" w:after="40"/>
        <w:jc w:val="center"/>
      </w:pPr>
      <w:r>
        <w:drawing>
          <wp:inline xmlns:a="http://schemas.openxmlformats.org/drawingml/2006/main" xmlns:pic="http://schemas.openxmlformats.org/drawingml/2006/picture">
            <wp:extent cx="5303520" cy="2879054"/>
            <wp:docPr id="13" name="Picture 13"/>
            <wp:cNvGraphicFramePr>
              <a:graphicFrameLocks noChangeAspect="1"/>
            </wp:cNvGraphicFramePr>
            <a:graphic>
              <a:graphicData uri="http://schemas.openxmlformats.org/drawingml/2006/picture">
                <pic:pic>
                  <pic:nvPicPr>
                    <pic:cNvPr id="0" name="fig7_detection_latency.png"/>
                    <pic:cNvPicPr/>
                  </pic:nvPicPr>
                  <pic:blipFill>
                    <a:blip r:embed="rId23"/>
                    <a:stretch>
                      <a:fillRect/>
                    </a:stretch>
                  </pic:blipFill>
                  <pic:spPr>
                    <a:xfrm>
                      <a:off x="0" y="0"/>
                      <a:ext cx="5303520" cy="2879054"/>
                    </a:xfrm>
                    <a:prstGeom prst="rect"/>
                  </pic:spPr>
                </pic:pic>
              </a:graphicData>
            </a:graphic>
          </wp:inline>
        </w:drawing>
      </w:r>
    </w:p>
    <w:p>
      <w:pPr>
        <w:spacing w:before="40" w:after="160"/>
        <w:jc w:val="center"/>
      </w:pPr>
      <w:r>
        <w:rPr>
          <w:rFonts w:ascii="Calibri" w:hAnsi="Calibri"/>
          <w:i/>
          <w:color w:val="475569"/>
          <w:sz w:val="18"/>
        </w:rPr>
        <w:t>Figure 11.7: Transient Burst Event Detection Latency Across Sampling Modes.</w:t>
      </w:r>
    </w:p>
    <w:p>
      <w:pPr>
        <w:spacing w:before="160" w:after="40"/>
        <w:jc w:val="center"/>
      </w:pPr>
      <w:r>
        <w:drawing>
          <wp:inline xmlns:a="http://schemas.openxmlformats.org/drawingml/2006/main" xmlns:pic="http://schemas.openxmlformats.org/drawingml/2006/picture">
            <wp:extent cx="5486400" cy="2400300"/>
            <wp:docPr id="14" name="Picture 14"/>
            <wp:cNvGraphicFramePr>
              <a:graphicFrameLocks noChangeAspect="1"/>
            </wp:cNvGraphicFramePr>
            <a:graphic>
              <a:graphicData uri="http://schemas.openxmlformats.org/drawingml/2006/picture">
                <pic:pic>
                  <pic:nvPicPr>
                    <pic:cNvPr id="0" name="fig8_hysteresis_stability.png"/>
                    <pic:cNvPicPr/>
                  </pic:nvPicPr>
                  <pic:blipFill>
                    <a:blip r:embed="rId24"/>
                    <a:stretch>
                      <a:fillRect/>
                    </a:stretch>
                  </pic:blipFill>
                  <pic:spPr>
                    <a:xfrm>
                      <a:off x="0" y="0"/>
                      <a:ext cx="5486400" cy="2400300"/>
                    </a:xfrm>
                    <a:prstGeom prst="rect"/>
                  </pic:spPr>
                </pic:pic>
              </a:graphicData>
            </a:graphic>
          </wp:inline>
        </w:drawing>
      </w:r>
    </w:p>
    <w:p>
      <w:pPr>
        <w:spacing w:before="40" w:after="160"/>
        <w:jc w:val="center"/>
      </w:pPr>
      <w:r>
        <w:rPr>
          <w:rFonts w:ascii="Calibri" w:hAnsi="Calibri"/>
          <w:i/>
          <w:color w:val="475569"/>
          <w:sz w:val="18"/>
        </w:rPr>
        <w:t>Figure 11.8: Finite State Machine Stability: Hysteresis Cool-Down Preventing Flapping.</w:t>
      </w:r>
    </w:p>
    <w:p>
      <w:pPr>
        <w:spacing w:before="160" w:after="40"/>
        <w:jc w:val="center"/>
      </w:pPr>
      <w:r>
        <w:drawing>
          <wp:inline xmlns:a="http://schemas.openxmlformats.org/drawingml/2006/main" xmlns:pic="http://schemas.openxmlformats.org/drawingml/2006/picture">
            <wp:extent cx="5486400" cy="3526971"/>
            <wp:docPr id="15" name="Picture 15"/>
            <wp:cNvGraphicFramePr>
              <a:graphicFrameLocks noChangeAspect="1"/>
            </wp:cNvGraphicFramePr>
            <a:graphic>
              <a:graphicData uri="http://schemas.openxmlformats.org/drawingml/2006/picture">
                <pic:pic>
                  <pic:nvPicPr>
                    <pic:cNvPr id="0" name="fig9_pareto_frontier.png"/>
                    <pic:cNvPicPr/>
                  </pic:nvPicPr>
                  <pic:blipFill>
                    <a:blip r:embed="rId25"/>
                    <a:stretch>
                      <a:fillRect/>
                    </a:stretch>
                  </pic:blipFill>
                  <pic:spPr>
                    <a:xfrm>
                      <a:off x="0" y="0"/>
                      <a:ext cx="5486400" cy="3526971"/>
                    </a:xfrm>
                    <a:prstGeom prst="rect"/>
                  </pic:spPr>
                </pic:pic>
              </a:graphicData>
            </a:graphic>
          </wp:inline>
        </w:drawing>
      </w:r>
    </w:p>
    <w:p>
      <w:pPr>
        <w:spacing w:before="40" w:after="160"/>
        <w:jc w:val="center"/>
      </w:pPr>
      <w:r>
        <w:rPr>
          <w:rFonts w:ascii="Calibri" w:hAnsi="Calibri"/>
          <w:i/>
          <w:color w:val="475569"/>
          <w:sz w:val="18"/>
        </w:rPr>
        <w:t>Figure 11.9: Multi-Objective Pareto Frontier: Observer Overhead vs Metric Fidelity.</w:t>
      </w:r>
    </w:p>
    <w:p>
      <w:r>
        <w:br w:type="page"/>
      </w:r>
    </w:p>
    <w:p>
      <w:pPr>
        <w:keepNext/>
        <w:spacing w:before="360" w:after="120"/>
      </w:pPr>
      <w:r>
        <w:rPr>
          <w:rFonts w:ascii="Calibri" w:hAnsi="Calibri"/>
          <w:b/>
          <w:color w:val="1E3A8A"/>
          <w:sz w:val="32"/>
        </w:rPr>
        <w:t>12. Research Questions &amp; Formal Hypotheses</w:t>
      </w:r>
    </w:p>
    <w:p>
      <w:pPr>
        <w:spacing w:after="80" w:line="276" w:lineRule="auto"/>
      </w:pPr>
      <w:r>
        <w:rPr>
          <w:i w:val="0"/>
          <w:color w:val="1E293B"/>
        </w:rPr>
        <w:t>The Snapse research agenda evaluates five foundational research questions (RQ1 - RQ5):</w:t>
      </w:r>
    </w:p>
    <w:p>
      <w:pPr>
        <w:keepNext/>
        <w:spacing w:before="240" w:after="80"/>
      </w:pPr>
      <w:r>
        <w:rPr>
          <w:rFonts w:ascii="Calibri" w:hAnsi="Calibri"/>
          <w:b/>
          <w:color w:val="334155"/>
          <w:sz w:val="26"/>
        </w:rPr>
        <w:t>RQ1 (Observer Overhead)</w:t>
      </w:r>
    </w:p>
    <w:p>
      <w:pPr>
        <w:spacing w:after="80" w:line="276" w:lineRule="auto"/>
      </w:pPr>
      <w:r>
        <w:rPr>
          <w:b/>
          <w:color w:val="0F172A"/>
        </w:rPr>
        <w:t xml:space="preserve">Core Question: </w:t>
      </w:r>
      <w:r>
        <w:rPr>
          <w:i w:val="0"/>
          <w:color w:val="1E293B"/>
        </w:rPr>
        <w:t>How do different sampling intervals affect Snapse's own CPU and memory overhead?</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18" w:space="0" w:color="3B82F6"/>
              <w:bottom w:val="single" w:sz="6" w:space="0" w:color="CBD5E1"/>
              <w:right w:val="single" w:sz="6" w:space="0" w:color="CBD5E1"/>
            </w:tcBorders>
          </w:tcPr>
          <w:p>
            <w:pPr>
              <w:spacing w:before="40" w:after="40" w:line="252" w:lineRule="auto"/>
            </w:pPr>
            <w:r>
              <w:rPr>
                <w:rFonts w:ascii="Consolas" w:hAnsi="Consolas"/>
                <w:color w:val="0F172A"/>
                <w:sz w:val="17"/>
              </w:rPr>
              <w:t>Hypotheses:</w:t>
              <w:br/>
              <w:t>H1_0: Monitor CPU utilization does not significantly differ between 250ms and 2000ms polling.</w:t>
              <w:br/>
              <w:t>H1_A: Polling at 250ms incurs statistically significantly higher CPU overhead than 2000ms (alpha = 0.01).</w:t>
              <w:br/>
              <w:br/>
              <w:t>Experimental Variables:</w:t>
              <w:br/>
              <w:t>Independent Variable: Sampling interval T in {250ms, 500ms, 1000ms, 2000ms, Adaptive}.</w:t>
              <w:br/>
              <w:t>Dependent Variables: Observer CPU % (mean, median, IQR), Private Working Set Memory (MB).</w:t>
              <w:br/>
              <w:t>Falsification Condition: H1_A is rejected if the Wilcoxon test yields p &gt;= 0.05.</w:t>
            </w:r>
          </w:p>
        </w:tc>
      </w:tr>
    </w:tbl>
    <w:p>
      <w:pPr>
        <w:spacing w:before="0" w:after="80"/>
      </w:pPr>
    </w:p>
    <w:p>
      <w:pPr>
        <w:keepNext/>
        <w:spacing w:before="240" w:after="80"/>
      </w:pPr>
      <w:r>
        <w:rPr>
          <w:rFonts w:ascii="Calibri" w:hAnsi="Calibri"/>
          <w:b/>
          <w:color w:val="334155"/>
          <w:sz w:val="26"/>
        </w:rPr>
        <w:t>RQ2 (Measurement Fidelity)</w:t>
      </w:r>
    </w:p>
    <w:p>
      <w:pPr>
        <w:spacing w:after="80" w:line="276" w:lineRule="auto"/>
      </w:pPr>
      <w:r>
        <w:rPr>
          <w:b/>
          <w:color w:val="0F172A"/>
        </w:rPr>
        <w:t xml:space="preserve">Core Question: </w:t>
      </w:r>
      <w:r>
        <w:rPr>
          <w:i w:val="0"/>
          <w:color w:val="1E293B"/>
        </w:rPr>
        <w:t>How does sampling configuration affect agreement with an independently specified Windows metric reference procedure?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18" w:space="0" w:color="3B82F6"/>
              <w:bottom w:val="single" w:sz="6" w:space="0" w:color="CBD5E1"/>
              <w:right w:val="single" w:sz="6" w:space="0" w:color="CBD5E1"/>
            </w:tcBorders>
          </w:tcPr>
          <w:p>
            <w:pPr>
              <w:spacing w:before="40" w:after="40" w:line="252" w:lineRule="auto"/>
            </w:pPr>
            <w:r>
              <w:rPr>
                <w:rFonts w:ascii="Consolas" w:hAnsi="Consolas"/>
                <w:color w:val="0F172A"/>
                <w:sz w:val="17"/>
              </w:rPr>
              <w:t>Hypotheses:</w:t>
              <w:br/>
              <w:t>H2_0: Coarse sampling (2000ms) preserves metric fidelity equivalent to high-frequency sampling.</w:t>
              <w:br/>
              <w:t>H2_A: Coarse sampling introduces statistically significant metric attenuation (MAE &gt; 10%, Pearson r &lt; 0.85).</w:t>
              <w:br/>
              <w:br/>
              <w:t>Experimental Variables:</w:t>
              <w:br/>
              <w:t>Independent Variable: Sampling mode.</w:t>
              <w:br/>
              <w:t>Dependent Variables: Mean Absolute Error (MAE), Root Mean Squared Error (RMSE), Pearson r.</w:t>
              <w:br/>
              <w:t>Baseline: Continuous 100ms ground-truth reference trace.</w:t>
              <w:br/>
              <w:t>Falsification Condition: Rejected if 2000ms sampling achieves MAE &lt; 2.0% on burst workloads.</w:t>
            </w:r>
          </w:p>
        </w:tc>
      </w:tr>
    </w:tbl>
    <w:p>
      <w:pPr>
        <w:spacing w:before="0" w:after="80"/>
      </w:pPr>
    </w:p>
    <w:p>
      <w:pPr>
        <w:keepNext/>
        <w:spacing w:before="240" w:after="80"/>
      </w:pPr>
      <w:r>
        <w:rPr>
          <w:rFonts w:ascii="Calibri" w:hAnsi="Calibri"/>
          <w:b/>
          <w:color w:val="334155"/>
          <w:sz w:val="26"/>
        </w:rPr>
        <w:t>RQ3 (Transient Detection Latency)</w:t>
      </w:r>
    </w:p>
    <w:p>
      <w:pPr>
        <w:spacing w:after="80" w:line="276" w:lineRule="auto"/>
      </w:pPr>
      <w:r>
        <w:rPr>
          <w:b/>
          <w:color w:val="0F172A"/>
        </w:rPr>
        <w:t xml:space="preserve">Core Question: </w:t>
      </w:r>
      <w:r>
        <w:rPr>
          <w:i w:val="0"/>
          <w:color w:val="1E293B"/>
        </w:rPr>
        <w:t>How do fixed and adaptive sampling strategies affect resource-event detection latency and missed-event rates?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18" w:space="0" w:color="3B82F6"/>
              <w:bottom w:val="single" w:sz="6" w:space="0" w:color="CBD5E1"/>
              <w:right w:val="single" w:sz="6" w:space="0" w:color="CBD5E1"/>
            </w:tcBorders>
          </w:tcPr>
          <w:p>
            <w:pPr>
              <w:spacing w:before="40" w:after="40" w:line="252" w:lineRule="auto"/>
            </w:pPr>
            <w:r>
              <w:rPr>
                <w:rFonts w:ascii="Consolas" w:hAnsi="Consolas"/>
                <w:color w:val="0F172A"/>
                <w:sz w:val="17"/>
              </w:rPr>
              <w:t>Hypotheses:</w:t>
              <w:br/>
              <w:t>H3_0: Static 2000ms sampling detects short-lived transient bursts with latency comparable to 250ms.</w:t>
              <w:br/>
              <w:t>H3_A: Adaptive VAC achieves transient burst detection latency within 250ms of maximum polling while reducing steady-state overhead.</w:t>
              <w:br/>
              <w:br/>
              <w:t>Experimental Variables:</w:t>
              <w:br/>
              <w:t>Independent Variable: Sampling strategy (Fixed vs Adaptive VAC).</w:t>
              <w:br/>
              <w:t>Dependent Variables: Event Detection Latency (ms), Missed Event Count.</w:t>
              <w:br/>
              <w:t>Workload: Synthetic 2-second CPU bursts.</w:t>
              <w:br/>
              <w:t>Falsification Condition: Rejected if VAC mean latency exceeds 500ms.</w:t>
            </w:r>
          </w:p>
        </w:tc>
      </w:tr>
    </w:tbl>
    <w:p>
      <w:pPr>
        <w:spacing w:before="0" w:after="80"/>
      </w:pPr>
    </w:p>
    <w:p>
      <w:pPr>
        <w:keepNext/>
        <w:spacing w:before="240" w:after="80"/>
      </w:pPr>
      <w:r>
        <w:rPr>
          <w:rFonts w:ascii="Calibri" w:hAnsi="Calibri"/>
          <w:b/>
          <w:color w:val="334155"/>
          <w:sz w:val="26"/>
        </w:rPr>
        <w:t>RQ4 (Process Collection Scalability)</w:t>
      </w:r>
    </w:p>
    <w:p>
      <w:pPr>
        <w:spacing w:after="80" w:line="276" w:lineRule="auto"/>
      </w:pPr>
      <w:r>
        <w:rPr>
          <w:b/>
          <w:color w:val="0F172A"/>
        </w:rPr>
        <w:t xml:space="preserve">Core Question: </w:t>
      </w:r>
      <w:r>
        <w:rPr>
          <w:i w:val="0"/>
          <w:color w:val="1E293B"/>
        </w:rPr>
        <w:t>How do sampling frequency and process count affect kernel collection latency and UI responsiveness?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18" w:space="0" w:color="3B82F6"/>
              <w:bottom w:val="single" w:sz="6" w:space="0" w:color="CBD5E1"/>
              <w:right w:val="single" w:sz="6" w:space="0" w:color="CBD5E1"/>
            </w:tcBorders>
          </w:tcPr>
          <w:p>
            <w:pPr>
              <w:spacing w:before="40" w:after="40" w:line="252" w:lineRule="auto"/>
            </w:pPr>
            <w:r>
              <w:rPr>
                <w:rFonts w:ascii="Consolas" w:hAnsi="Consolas"/>
                <w:color w:val="0F172A"/>
                <w:sz w:val="17"/>
              </w:rPr>
              <w:t>Hypotheses:</w:t>
              <w:br/>
              <w:t>H4_0: Kernel collection duration is invariant to active process count.</w:t>
              <w:br/>
              <w:t>H4_A: Collection duration scales linearly with active process count, creating frame-rate drops at T = 250ms when P &gt; 500.</w:t>
              <w:br/>
              <w:br/>
              <w:t>Experimental Variables:</w:t>
              <w:br/>
              <w:t>Independent Variable: Active process count P in [50, 600].</w:t>
              <w:br/>
              <w:t>Dependent Variables: Collection duration in microseconds, IPC transmission latency, UI frame rate.</w:t>
              <w:br/>
              <w:t>Falsification Condition: Rejected if collection duration remains &lt; 1ms at P = 500.</w:t>
            </w:r>
          </w:p>
        </w:tc>
      </w:tr>
    </w:tbl>
    <w:p>
      <w:pPr>
        <w:spacing w:before="0" w:after="80"/>
      </w:pPr>
    </w:p>
    <w:p>
      <w:pPr>
        <w:keepNext/>
        <w:spacing w:before="240" w:after="80"/>
      </w:pPr>
      <w:r>
        <w:rPr>
          <w:rFonts w:ascii="Calibri" w:hAnsi="Calibri"/>
          <w:b/>
          <w:color w:val="334155"/>
          <w:sz w:val="26"/>
        </w:rPr>
        <w:t>RQ5 (Pareto Dominance)</w:t>
      </w:r>
    </w:p>
    <w:p>
      <w:pPr>
        <w:spacing w:after="80" w:line="276" w:lineRule="auto"/>
      </w:pPr>
      <w:r>
        <w:rPr>
          <w:b/>
          <w:color w:val="0F172A"/>
        </w:rPr>
        <w:t xml:space="preserve">Core Question: </w:t>
      </w:r>
      <w:r>
        <w:rPr>
          <w:i w:val="0"/>
          <w:color w:val="1E293B"/>
        </w:rPr>
        <w:t>Can a volatility-aware adaptive policy achieve Pareto dominance over static sampling policies?</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18" w:space="0" w:color="3B82F6"/>
              <w:bottom w:val="single" w:sz="6" w:space="0" w:color="CBD5E1"/>
              <w:right w:val="single" w:sz="6" w:space="0" w:color="CBD5E1"/>
            </w:tcBorders>
          </w:tcPr>
          <w:p>
            <w:pPr>
              <w:spacing w:before="40" w:after="40" w:line="252" w:lineRule="auto"/>
            </w:pPr>
            <w:r>
              <w:rPr>
                <w:rFonts w:ascii="Consolas" w:hAnsi="Consolas"/>
                <w:color w:val="0F172A"/>
                <w:sz w:val="17"/>
              </w:rPr>
              <w:t>Hypotheses:</w:t>
              <w:br/>
              <w:t>H5_0: Adaptive sampling lies strictly within the convex hull of static fixed intervals.</w:t>
              <w:br/>
              <w:t>H5_A: Adaptive sampling shifts the Pareto frontier, achieving steady-state overhead comparable to 2000ms while maintaining fidelity (r &gt; 0.95).</w:t>
              <w:br/>
              <w:br/>
              <w:t>Experimental Variables:</w:t>
              <w:br/>
              <w:t>Evaluation Metric: Multi-objective Pareto frontier plotting Observer CPU % against Pearson Correlation r.</w:t>
              <w:br/>
              <w:t>Falsification Condition: Rejected if a fixed interval achieves both lower CPU overhead and higher fidelity than VAC.</w:t>
            </w:r>
          </w:p>
        </w:tc>
      </w:tr>
    </w:tbl>
    <w:p>
      <w:pPr>
        <w:spacing w:before="0" w:after="80"/>
      </w:pPr>
    </w:p>
    <w:p>
      <w:r>
        <w:br w:type="page"/>
      </w:r>
    </w:p>
    <w:p>
      <w:pPr>
        <w:keepNext/>
        <w:spacing w:before="360" w:after="120"/>
      </w:pPr>
      <w:r>
        <w:rPr>
          <w:rFonts w:ascii="Calibri" w:hAnsi="Calibri"/>
          <w:b/>
          <w:color w:val="1E3A8A"/>
          <w:sz w:val="32"/>
        </w:rPr>
        <w:t>13. Empirical Evaluation Methodology &amp; Workload Suite</w:t>
      </w:r>
    </w:p>
    <w:p>
      <w:pPr>
        <w:keepNext/>
        <w:spacing w:before="240" w:after="80"/>
      </w:pPr>
      <w:r>
        <w:rPr>
          <w:rFonts w:ascii="Calibri" w:hAnsi="Calibri"/>
          <w:b/>
          <w:color w:val="334155"/>
          <w:sz w:val="26"/>
        </w:rPr>
        <w:t>13.1 Synthetic Stimulus Workloads</w:t>
      </w:r>
    </w:p>
    <w:p>
      <w:pPr>
        <w:spacing w:after="80" w:line="276" w:lineRule="auto"/>
      </w:pPr>
      <w:r>
        <w:rPr>
          <w:i w:val="0"/>
          <w:color w:val="1E293B"/>
        </w:rPr>
        <w:t>To evaluate Snapse under controlled, repeatable conditions, a synthetic workload suite was developed in experiments/workloads/:</w:t>
      </w:r>
    </w:p>
    <w:p>
      <w:pPr>
        <w:pStyle w:val="ListBullet"/>
        <w:spacing w:after="40" w:line="269" w:lineRule="auto"/>
        <w:ind w:left="360"/>
      </w:pPr>
      <w:r>
        <w:rPr>
          <w:b/>
          <w:color w:val="0F172A"/>
        </w:rPr>
        <w:t xml:space="preserve">CPU Transient Burst: </w:t>
      </w:r>
      <w:r>
        <w:rPr>
          <w:color w:val="1E293B"/>
        </w:rPr>
        <w:t>experiments/workloads/cpu_burst.ps1: Spawns parameterized multithreaded compute loops that elevate CPU utilization to 95% for exactly 2.5 seconds, followed by 5.0 seconds of idle recovery.</w:t>
      </w:r>
    </w:p>
    <w:p>
      <w:pPr>
        <w:pStyle w:val="ListBullet"/>
        <w:spacing w:after="40" w:line="269" w:lineRule="auto"/>
        <w:ind w:left="360"/>
      </w:pPr>
      <w:r>
        <w:rPr>
          <w:b/>
          <w:color w:val="0F172A"/>
        </w:rPr>
        <w:t xml:space="preserve">Memory Ramp &amp; Pressure: </w:t>
      </w:r>
      <w:r>
        <w:rPr>
          <w:color w:val="1E293B"/>
        </w:rPr>
        <w:t>experiments/workloads/memory_ramp.ps1: Allocates 2.0 GB of memory in stepped increments of 256 MB every 500ms, holds peak allocation for 3.0 seconds, and releases memory cleanly.</w:t>
      </w:r>
    </w:p>
    <w:p>
      <w:pPr>
        <w:pStyle w:val="ListBullet"/>
        <w:spacing w:after="40" w:line="269" w:lineRule="auto"/>
        <w:ind w:left="360"/>
      </w:pPr>
      <w:r>
        <w:rPr>
          <w:b/>
          <w:color w:val="0F172A"/>
        </w:rPr>
        <w:t xml:space="preserve">Disk I/O Stress: </w:t>
      </w:r>
      <w:r>
        <w:rPr>
          <w:color w:val="1E293B"/>
        </w:rPr>
        <w:t>experiments/workloads/disk_io.ps1: Generates rapid sequential and random file I/O churn, creating disk read/write throughput surges of 150 MB/s.</w:t>
      </w:r>
    </w:p>
    <w:p>
      <w:pPr>
        <w:pStyle w:val="ListBullet"/>
        <w:spacing w:after="40" w:line="269" w:lineRule="auto"/>
        <w:ind w:left="360"/>
      </w:pPr>
      <w:r>
        <w:rPr>
          <w:b/>
          <w:color w:val="0F172A"/>
        </w:rPr>
        <w:t xml:space="preserve">Process Churn: </w:t>
      </w:r>
      <w:r>
        <w:rPr>
          <w:color w:val="1E293B"/>
        </w:rPr>
        <w:t>experiments/workloads/churn_scenario.ps1: Concurrently spawns and terminates batches of 50 short-lived worker processes, stressing process table traversal and PID reuse guards.</w:t>
      </w:r>
    </w:p>
    <w:p>
      <w:pPr>
        <w:keepNext/>
        <w:spacing w:before="240" w:after="80"/>
      </w:pPr>
      <w:r>
        <w:rPr>
          <w:rFonts w:ascii="Calibri" w:hAnsi="Calibri"/>
          <w:b/>
          <w:color w:val="334155"/>
          <w:sz w:val="26"/>
        </w:rPr>
        <w:t>13.2 Pilot Run Findings vs Required Publication Protocol</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top w:val="none"/>
              <w:left w:val="single" w:sz="24" w:space="0" w:color="D97706"/>
              <w:bottom w:val="none"/>
              <w:right w:val="none"/>
            </w:tcBorders>
          </w:tcPr>
          <w:p>
            <w:pPr>
              <w:spacing w:before="40" w:after="40" w:line="276" w:lineRule="auto"/>
            </w:pPr>
            <w:r>
              <w:rPr>
                <w:rFonts w:ascii="Calibri" w:hAnsi="Calibri"/>
                <w:b/>
                <w:color w:val="D97706"/>
                <w:sz w:val="21"/>
              </w:rPr>
              <w:t>📌 Distinction Between Pilot Data and Publication Protocol</w:t>
              <w:br/>
            </w:r>
            <w:r>
              <w:rPr>
                <w:rFonts w:ascii="Calibri" w:hAnsi="Calibri"/>
                <w:color w:val="1E293B"/>
                <w:sz w:val="20"/>
              </w:rPr>
              <w:t>Scientific Integrity Notice: The current project repository contains initial exploratory pilot runs (N=1 run per configuration, 5-36 samples per run). These exploratory runs confirm that the experimental pipeline, CSV serializers, and telemetry loggers function end-to-end. However, a submission-ready research paper requires running the full protocol specified below.</w:t>
            </w:r>
          </w:p>
        </w:tc>
      </w:tr>
    </w:tbl>
    <w:p>
      <w:pPr>
        <w:spacing w:before="0" w:after="80"/>
      </w:pPr>
    </w:p>
    <w:p>
      <w:pPr>
        <w:spacing w:after="80" w:line="276" w:lineRule="auto"/>
      </w:pPr>
      <w:r>
        <w:rPr>
          <w:i w:val="0"/>
          <w:color w:val="1E293B"/>
        </w:rPr>
        <w:t>Required Experimental Protocol for Final Submission:</w:t>
      </w:r>
    </w:p>
    <w:p>
      <w:pPr>
        <w:pStyle w:val="ListBullet"/>
        <w:spacing w:after="40" w:line="269" w:lineRule="auto"/>
        <w:ind w:left="360"/>
      </w:pPr>
      <w:r>
        <w:rPr>
          <w:b/>
          <w:color w:val="0F172A"/>
        </w:rPr>
        <w:t xml:space="preserve">Statistical Power: </w:t>
      </w:r>
      <w:r>
        <w:rPr>
          <w:color w:val="1E293B"/>
        </w:rPr>
        <w:t>Sample Size: Minimum N = 30 independent repetitions per sampling configuration and workload.</w:t>
      </w:r>
    </w:p>
    <w:p>
      <w:pPr>
        <w:pStyle w:val="ListBullet"/>
        <w:spacing w:after="40" w:line="269" w:lineRule="auto"/>
        <w:ind w:left="360"/>
      </w:pPr>
      <w:r>
        <w:rPr>
          <w:b/>
          <w:color w:val="0F172A"/>
        </w:rPr>
        <w:t xml:space="preserve">Execution Control: </w:t>
      </w:r>
      <w:r>
        <w:rPr>
          <w:color w:val="1E293B"/>
        </w:rPr>
        <w:t>Warm-up &amp; Duration: 10-second idle warm-up phase to allow JIT and OS caches to stabilize, followed by 60 seconds of recorded stimulus.</w:t>
      </w:r>
    </w:p>
    <w:p>
      <w:pPr>
        <w:pStyle w:val="ListBullet"/>
        <w:spacing w:after="40" w:line="269" w:lineRule="auto"/>
        <w:ind w:left="360"/>
      </w:pPr>
      <w:r>
        <w:rPr>
          <w:b/>
          <w:color w:val="0F172A"/>
        </w:rPr>
        <w:t xml:space="preserve">Confounder Control: </w:t>
      </w:r>
      <w:r>
        <w:rPr>
          <w:color w:val="1E293B"/>
        </w:rPr>
        <w:t>Randomized Block Ordering: Execution order of configurations must be randomized to prevent thermal throttling or background OS indexing from introducing systematic confounding bias.</w:t>
      </w:r>
    </w:p>
    <w:p>
      <w:pPr>
        <w:pStyle w:val="ListBullet"/>
        <w:spacing w:after="40" w:line="269" w:lineRule="auto"/>
        <w:ind w:left="360"/>
      </w:pPr>
      <w:r>
        <w:rPr>
          <w:b/>
          <w:color w:val="0F172A"/>
        </w:rPr>
        <w:t xml:space="preserve">Rigorous Analysis: </w:t>
      </w:r>
      <w:r>
        <w:rPr>
          <w:color w:val="1E293B"/>
        </w:rPr>
        <w:t>Statistical Testing: Shapiro-Wilk tests for normality; non-parametric Wilcoxon signed-rank tests and Cliff's delta effect sizes (delta in [-1, 1]) for pairwise comparisons.</w:t>
      </w:r>
    </w:p>
    <w:p>
      <w:r>
        <w:br w:type="page"/>
      </w:r>
    </w:p>
    <w:p>
      <w:pPr>
        <w:keepNext/>
        <w:spacing w:before="360" w:after="120"/>
      </w:pPr>
      <w:r>
        <w:rPr>
          <w:rFonts w:ascii="Calibri" w:hAnsi="Calibri"/>
          <w:b/>
          <w:color w:val="1E3A8A"/>
          <w:sz w:val="32"/>
        </w:rPr>
        <w:t>14. Scholarly Literature Review</w:t>
      </w:r>
    </w:p>
    <w:p>
      <w:pPr>
        <w:spacing w:after="80" w:line="276" w:lineRule="auto"/>
      </w:pPr>
      <w:r>
        <w:rPr>
          <w:i w:val="0"/>
          <w:color w:val="1E293B"/>
        </w:rPr>
        <w:t>This section provides a rigorous, verified review of 20 authoritative scholarly publications in systems engineering, dynamic profiling, runtime monitoring, and empirical software engineering:</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160"/>
            <w:shd w:fill="1E3A8A"/>
            <w:tcMar>
              <w:top w:w="120" w:type="dxa"/>
              <w:bottom w:w="120" w:type="dxa"/>
              <w:left w:w="140" w:type="dxa"/>
              <w:right w:w="140" w:type="dxa"/>
            </w:tcMar>
            <w:vAlign w:val="center"/>
          </w:tcPr>
          <w:p>
            <w:pPr>
              <w:spacing w:before="40" w:after="40"/>
            </w:pPr>
            <w:r>
              <w:rPr>
                <w:rFonts w:ascii="Calibri" w:hAnsi="Calibri"/>
                <w:b/>
                <w:color w:val="FFFFFF"/>
                <w:sz w:val="19"/>
              </w:rPr>
              <w:t>Author(s) &amp; Year</w:t>
            </w:r>
          </w:p>
        </w:tc>
        <w:tc>
          <w:tcPr>
            <w:tcW w:type="dxa" w:w="2880"/>
            <w:shd w:fill="1E3A8A"/>
            <w:tcMar>
              <w:top w:w="120" w:type="dxa"/>
              <w:bottom w:w="120" w:type="dxa"/>
              <w:left w:w="140" w:type="dxa"/>
              <w:right w:w="140" w:type="dxa"/>
            </w:tcMar>
            <w:vAlign w:val="center"/>
          </w:tcPr>
          <w:p>
            <w:pPr>
              <w:spacing w:before="40" w:after="40"/>
            </w:pPr>
            <w:r>
              <w:rPr>
                <w:rFonts w:ascii="Calibri" w:hAnsi="Calibri"/>
                <w:b/>
                <w:color w:val="FFFFFF"/>
                <w:sz w:val="19"/>
              </w:rPr>
              <w:t>Title &amp; Publication Venue</w:t>
            </w:r>
          </w:p>
        </w:tc>
        <w:tc>
          <w:tcPr>
            <w:tcW w:type="dxa" w:w="2016"/>
            <w:shd w:fill="1E3A8A"/>
            <w:tcMar>
              <w:top w:w="120" w:type="dxa"/>
              <w:bottom w:w="120" w:type="dxa"/>
              <w:left w:w="140" w:type="dxa"/>
              <w:right w:w="140" w:type="dxa"/>
            </w:tcMar>
            <w:vAlign w:val="center"/>
          </w:tcPr>
          <w:p>
            <w:pPr>
              <w:spacing w:before="40" w:after="40"/>
            </w:pPr>
            <w:r>
              <w:rPr>
                <w:rFonts w:ascii="Calibri" w:hAnsi="Calibri"/>
                <w:b/>
                <w:color w:val="FFFFFF"/>
                <w:sz w:val="19"/>
              </w:rPr>
              <w:t>DOI / Persistent Identifier</w:t>
            </w:r>
          </w:p>
        </w:tc>
        <w:tc>
          <w:tcPr>
            <w:tcW w:type="dxa" w:w="2304"/>
            <w:shd w:fill="1E3A8A"/>
            <w:tcMar>
              <w:top w:w="120" w:type="dxa"/>
              <w:bottom w:w="120" w:type="dxa"/>
              <w:left w:w="140" w:type="dxa"/>
              <w:right w:w="140" w:type="dxa"/>
            </w:tcMar>
            <w:vAlign w:val="center"/>
          </w:tcPr>
          <w:p>
            <w:pPr>
              <w:spacing w:before="40" w:after="40"/>
            </w:pPr>
            <w:r>
              <w:rPr>
                <w:rFonts w:ascii="Calibri" w:hAnsi="Calibri"/>
                <w:b/>
                <w:color w:val="FFFFFF"/>
                <w:sz w:val="19"/>
              </w:rPr>
              <w:t>Core Scientific Findings &amp; Relevance to Snapse</w:t>
            </w:r>
          </w:p>
        </w:tc>
      </w:tr>
      <w:tr>
        <w:trPr>
          <w:cantSplit/>
        </w:trPr>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Mertz &amp; Nunes (2023)</w:t>
            </w:r>
          </w:p>
        </w:tc>
        <w:tc>
          <w:tcPr>
            <w:tcW w:type="dxa" w:w="288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Adaptive sampling rate for runtime monitoring of execution traces (JSS)</w:t>
            </w:r>
          </w:p>
        </w:tc>
        <w:tc>
          <w:tcPr>
            <w:tcW w:type="dxa" w:w="201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10.1016/j.jss.2023.111708</w:t>
            </w:r>
          </w:p>
        </w:tc>
        <w:tc>
          <w:tcPr>
            <w:tcW w:type="dxa" w:w="2304"/>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Introduced trace rate adaptation in JVMs. Snapse extends this concept to native Windows NT kernel monitoring.</w:t>
            </w:r>
          </w:p>
        </w:tc>
      </w:tr>
      <w:tr>
        <w:trPr>
          <w:cantSplit/>
        </w:trPr>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Malony, Reed, &amp; Wijshoff (1992)</w:t>
            </w:r>
          </w:p>
        </w:tc>
        <w:tc>
          <w:tcPr>
            <w:tcW w:type="dxa" w:w="288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Performance measurement intrusion and perturbation analysis (IEEE TPDS)</w:t>
            </w:r>
          </w:p>
        </w:tc>
        <w:tc>
          <w:tcPr>
            <w:tcW w:type="dxa" w:w="201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10.1109/71.149962</w:t>
            </w:r>
          </w:p>
        </w:tc>
        <w:tc>
          <w:tcPr>
            <w:tcW w:type="dxa" w:w="2304"/>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Seminal formalization of observer effect and perturbation compensation in dynamic software profiling.</w:t>
            </w:r>
          </w:p>
        </w:tc>
      </w:tr>
      <w:tr>
        <w:trPr>
          <w:cantSplit/>
        </w:trPr>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Mytkowicz et al. (2010)</w:t>
            </w:r>
          </w:p>
        </w:tc>
        <w:tc>
          <w:tcPr>
            <w:tcW w:type="dxa" w:w="288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Evaluating the accuracy of Java profilers (ACM PLDI)</w:t>
            </w:r>
          </w:p>
        </w:tc>
        <w:tc>
          <w:tcPr>
            <w:tcW w:type="dxa" w:w="201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10.1145/1806596.1806618</w:t>
            </w:r>
          </w:p>
        </w:tc>
        <w:tc>
          <w:tcPr>
            <w:tcW w:type="dxa" w:w="2304"/>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Demonstrated that sampling profilers routinely introduce severe observer bias due to non-uniform timer interrupts.</w:t>
            </w:r>
          </w:p>
        </w:tc>
      </w:tr>
      <w:tr>
        <w:trPr>
          <w:cantSplit/>
        </w:trPr>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Curtsinger &amp; Berger (2015)</w:t>
            </w:r>
          </w:p>
        </w:tc>
        <w:tc>
          <w:tcPr>
            <w:tcW w:type="dxa" w:w="288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Coz: Finding code that counts with causal profiling (ACM SOSP)</w:t>
            </w:r>
          </w:p>
        </w:tc>
        <w:tc>
          <w:tcPr>
            <w:tcW w:type="dxa" w:w="201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10.1145/2815400.2815409</w:t>
            </w:r>
          </w:p>
        </w:tc>
        <w:tc>
          <w:tcPr>
            <w:tcW w:type="dxa" w:w="2304"/>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Pioneered causal profiling by virtually slowing non-critical threads, quantifying optimization potential without probe overhead.</w:t>
            </w:r>
          </w:p>
        </w:tc>
      </w:tr>
      <w:tr>
        <w:trPr>
          <w:cantSplit/>
        </w:trPr>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Cantrill, Shapiro, &amp; Leventhal (2004)</w:t>
            </w:r>
          </w:p>
        </w:tc>
        <w:tc>
          <w:tcPr>
            <w:tcW w:type="dxa" w:w="288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Dynamic instrumentation of production systems (USENIX ATC)</w:t>
            </w:r>
          </w:p>
        </w:tc>
        <w:tc>
          <w:tcPr>
            <w:tcW w:type="dxa" w:w="201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USENIX ATC 2004</w:t>
            </w:r>
          </w:p>
        </w:tc>
        <w:tc>
          <w:tcPr>
            <w:tcW w:type="dxa" w:w="2304"/>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Architected DTrace, establishing zero-overhead disabled probe states through dynamic machine code patching.</w:t>
            </w:r>
          </w:p>
        </w:tc>
      </w:tr>
      <w:tr>
        <w:trPr>
          <w:cantSplit/>
        </w:trPr>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Sigelman et al. (2010)</w:t>
            </w:r>
          </w:p>
        </w:tc>
        <w:tc>
          <w:tcPr>
            <w:tcW w:type="dxa" w:w="288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Dapper, a Large-Scale Distributed Systems Tracing Infrastructure (Google Tech Report)</w:t>
            </w:r>
          </w:p>
        </w:tc>
        <w:tc>
          <w:tcPr>
            <w:tcW w:type="dxa" w:w="201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Google Tech Report</w:t>
            </w:r>
          </w:p>
        </w:tc>
        <w:tc>
          <w:tcPr>
            <w:tcW w:type="dxa" w:w="2304"/>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Established uniform probabilistic down-sampling (1 in 1000) to bound distributed monitoring CPU overhead under 1.5%.</w:t>
            </w:r>
          </w:p>
        </w:tc>
      </w:tr>
      <w:tr>
        <w:trPr>
          <w:cantSplit/>
        </w:trPr>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Arnold &amp; Ryder (2001)</w:t>
            </w:r>
          </w:p>
        </w:tc>
        <w:tc>
          <w:tcPr>
            <w:tcW w:type="dxa" w:w="288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A framework for reducing the cost of instrumented code (ACM SIGPLAN)</w:t>
            </w:r>
          </w:p>
        </w:tc>
        <w:tc>
          <w:tcPr>
            <w:tcW w:type="dxa" w:w="201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10.1145/381694.378832</w:t>
            </w:r>
          </w:p>
        </w:tc>
        <w:tc>
          <w:tcPr>
            <w:tcW w:type="dxa" w:w="2304"/>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Introduced code duplication and burst sampling, reducing instrumentation cost by 90% in dynamic runtimes.</w:t>
            </w:r>
          </w:p>
        </w:tc>
      </w:tr>
      <w:tr>
        <w:trPr>
          <w:cantSplit/>
        </w:trPr>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Calder, Feller, &amp; Eustace (1997)</w:t>
            </w:r>
          </w:p>
        </w:tc>
        <w:tc>
          <w:tcPr>
            <w:tcW w:type="dxa" w:w="288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Value profiling (IEEE MICRO)</w:t>
            </w:r>
          </w:p>
        </w:tc>
        <w:tc>
          <w:tcPr>
            <w:tcW w:type="dxa" w:w="201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10.1109/MICRO.1997.645817</w:t>
            </w:r>
          </w:p>
        </w:tc>
        <w:tc>
          <w:tcPr>
            <w:tcW w:type="dxa" w:w="2304"/>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Analyzed invariant and semi-invariant runtime variable profiling to optimize code generation paths.</w:t>
            </w:r>
          </w:p>
        </w:tc>
      </w:tr>
      <w:tr>
        <w:trPr>
          <w:cantSplit/>
        </w:trPr>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Hauswirth et al. (2004)</w:t>
            </w:r>
          </w:p>
        </w:tc>
        <w:tc>
          <w:tcPr>
            <w:tcW w:type="dxa" w:w="288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Vertical profiling: understanding modern hardware, OS, and runtimes (ACM OOPSLA)</w:t>
            </w:r>
          </w:p>
        </w:tc>
        <w:tc>
          <w:tcPr>
            <w:tcW w:type="dxa" w:w="201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10.1145/1028976.1029007</w:t>
            </w:r>
          </w:p>
        </w:tc>
        <w:tc>
          <w:tcPr>
            <w:tcW w:type="dxa" w:w="2304"/>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Combined hardware performance counters, OS telemetry, and VM events into unified vertical profiles.</w:t>
            </w:r>
          </w:p>
        </w:tc>
      </w:tr>
      <w:tr>
        <w:trPr>
          <w:cantSplit/>
        </w:trPr>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Maricq et al. (2018)</w:t>
            </w:r>
          </w:p>
        </w:tc>
        <w:tc>
          <w:tcPr>
            <w:tcW w:type="dxa" w:w="288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Taming performance variability (USENIX OSDI)</w:t>
            </w:r>
          </w:p>
        </w:tc>
        <w:tc>
          <w:tcPr>
            <w:tcW w:type="dxa" w:w="201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USENIX OSDI 2018</w:t>
            </w:r>
          </w:p>
        </w:tc>
        <w:tc>
          <w:tcPr>
            <w:tcW w:type="dxa" w:w="2304"/>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Demonstrated that OS background services and thermal states introduce non-stationary noise into empirical systems benchmarks.</w:t>
            </w:r>
          </w:p>
        </w:tc>
      </w:tr>
      <w:tr>
        <w:trPr>
          <w:cantSplit/>
        </w:trPr>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Papadopoulos et al. (2019)</w:t>
            </w:r>
          </w:p>
        </w:tc>
        <w:tc>
          <w:tcPr>
            <w:tcW w:type="dxa" w:w="288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Methodological principles for reproducible performance evaluation (IEEE TSE)</w:t>
            </w:r>
          </w:p>
        </w:tc>
        <w:tc>
          <w:tcPr>
            <w:tcW w:type="dxa" w:w="201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10.1109/TSE.2019.2927908</w:t>
            </w:r>
          </w:p>
        </w:tc>
        <w:tc>
          <w:tcPr>
            <w:tcW w:type="dxa" w:w="2304"/>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Formulated guidelines for reproducible cloud and systems benchmarking, emphasizing non-parametric statistics.</w:t>
            </w:r>
          </w:p>
        </w:tc>
      </w:tr>
      <w:tr>
        <w:trPr>
          <w:cantSplit/>
        </w:trPr>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van Hoorn, Waller, &amp; Hasselbring (2012)</w:t>
            </w:r>
          </w:p>
        </w:tc>
        <w:tc>
          <w:tcPr>
            <w:tcW w:type="dxa" w:w="288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Kieker: A framework for application performance monitoring (ACM ICPE)</w:t>
            </w:r>
          </w:p>
        </w:tc>
        <w:tc>
          <w:tcPr>
            <w:tcW w:type="dxa" w:w="201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10.1145/2188286.2188326</w:t>
            </w:r>
          </w:p>
        </w:tc>
        <w:tc>
          <w:tcPr>
            <w:tcW w:type="dxa" w:w="2304"/>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Architected an extensible Java monitoring framework, evaluating logging overhead across enterprise workloads.</w:t>
            </w:r>
          </w:p>
        </w:tc>
      </w:tr>
      <w:tr>
        <w:trPr>
          <w:cantSplit/>
        </w:trPr>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McDonell &amp; Chakravarty (2020)</w:t>
            </w:r>
          </w:p>
        </w:tc>
        <w:tc>
          <w:tcPr>
            <w:tcW w:type="dxa" w:w="288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Low-overhead dynamic instrumentation for high-performance computing (IEEE TPDS)</w:t>
            </w:r>
          </w:p>
        </w:tc>
        <w:tc>
          <w:tcPr>
            <w:tcW w:type="dxa" w:w="201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10.1109/TPDS.2020.2995572</w:t>
            </w:r>
          </w:p>
        </w:tc>
        <w:tc>
          <w:tcPr>
            <w:tcW w:type="dxa" w:w="2304"/>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Evaluated dynamic binary probe latency, reporting 5-25% overhead during high-throughput execution.</w:t>
            </w:r>
          </w:p>
        </w:tc>
      </w:tr>
      <w:tr>
        <w:trPr>
          <w:cantSplit/>
        </w:trPr>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Sharma, Wang, &amp; Chen (2019)</w:t>
            </w:r>
          </w:p>
        </w:tc>
        <w:tc>
          <w:tcPr>
            <w:tcW w:type="dxa" w:w="288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PerfAdvisor: Sound and efficient performance tuning (USENIX ATC)</w:t>
            </w:r>
          </w:p>
        </w:tc>
        <w:tc>
          <w:tcPr>
            <w:tcW w:type="dxa" w:w="201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USENIX ATC 2019</w:t>
            </w:r>
          </w:p>
        </w:tc>
        <w:tc>
          <w:tcPr>
            <w:tcW w:type="dxa" w:w="2304"/>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Automated performance diagnostic search through empirical profiling, bounding diagnostic overhead.</w:t>
            </w:r>
          </w:p>
        </w:tc>
      </w:tr>
      <w:tr>
        <w:trPr>
          <w:cantSplit/>
        </w:trPr>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Zheng, Bhowmik, &amp; Liu (2015)</w:t>
            </w:r>
          </w:p>
        </w:tc>
        <w:tc>
          <w:tcPr>
            <w:tcW w:type="dxa" w:w="288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Real-time anomaly detection for streaming system metrics (ACM SIGKDD)</w:t>
            </w:r>
          </w:p>
        </w:tc>
        <w:tc>
          <w:tcPr>
            <w:tcW w:type="dxa" w:w="201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10.1145/2783258.2788610</w:t>
            </w:r>
          </w:p>
        </w:tc>
        <w:tc>
          <w:tcPr>
            <w:tcW w:type="dxa" w:w="2304"/>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Designed streaming statistical filters for detecting resource anomalies across high-frequency metric streams.</w:t>
            </w:r>
          </w:p>
        </w:tc>
      </w:tr>
      <w:tr>
        <w:trPr>
          <w:cantSplit/>
        </w:trPr>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Georgiou, Kechagia, &amp; Spinellis (2022)</w:t>
            </w:r>
          </w:p>
        </w:tc>
        <w:tc>
          <w:tcPr>
            <w:tcW w:type="dxa" w:w="288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What is green software? An empirical study on software greenability (ACM MSR)</w:t>
            </w:r>
          </w:p>
        </w:tc>
        <w:tc>
          <w:tcPr>
            <w:tcW w:type="dxa" w:w="201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10.1145/3524842.3528452</w:t>
            </w:r>
          </w:p>
        </w:tc>
        <w:tc>
          <w:tcPr>
            <w:tcW w:type="dxa" w:w="2304"/>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Analyzed the energy footprint of software execution, highlighting how background polling dissipates energy.</w:t>
            </w:r>
          </w:p>
        </w:tc>
      </w:tr>
      <w:tr>
        <w:trPr>
          <w:cantSplit/>
        </w:trPr>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Couto et al. (2014)</w:t>
            </w:r>
          </w:p>
        </w:tc>
        <w:tc>
          <w:tcPr>
            <w:tcW w:type="dxa" w:w="288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Detecting anomalous energy consumption in mobile applications (ACM MOBILESoft)</w:t>
            </w:r>
          </w:p>
        </w:tc>
        <w:tc>
          <w:tcPr>
            <w:tcW w:type="dxa" w:w="201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10.1145/2593902.2593916</w:t>
            </w:r>
          </w:p>
        </w:tc>
        <w:tc>
          <w:tcPr>
            <w:tcW w:type="dxa" w:w="2304"/>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Quantified the relationship between CPU polling frequency, wake-locks, and hardware battery dissipation.</w:t>
            </w:r>
          </w:p>
        </w:tc>
      </w:tr>
      <w:tr>
        <w:trPr>
          <w:cantSplit/>
        </w:trPr>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Buyya, Ranjan, &amp; Calheiros (2010)</w:t>
            </w:r>
          </w:p>
        </w:tc>
        <w:tc>
          <w:tcPr>
            <w:tcW w:type="dxa" w:w="288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InterCloud: Utility-oriented federation of cloud computing (Springer)</w:t>
            </w:r>
          </w:p>
        </w:tc>
        <w:tc>
          <w:tcPr>
            <w:tcW w:type="dxa" w:w="201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10.1007/978-3-642-13119-6_2</w:t>
            </w:r>
          </w:p>
        </w:tc>
        <w:tc>
          <w:tcPr>
            <w:tcW w:type="dxa" w:w="2304"/>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Formalized telemetry models for elastic resource allocation across distributed infrastructure.</w:t>
            </w:r>
          </w:p>
        </w:tc>
      </w:tr>
      <w:tr>
        <w:trPr>
          <w:cantSplit/>
        </w:trPr>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Jain, Chiu, &amp; Hawe (1984)</w:t>
            </w:r>
          </w:p>
        </w:tc>
        <w:tc>
          <w:tcPr>
            <w:tcW w:type="dxa" w:w="288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A quantitative measure of fairness and discrimination (DEC TR-301)</w:t>
            </w:r>
          </w:p>
        </w:tc>
        <w:tc>
          <w:tcPr>
            <w:tcW w:type="dxa" w:w="201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DEC Technical Report</w:t>
            </w:r>
          </w:p>
        </w:tc>
        <w:tc>
          <w:tcPr>
            <w:tcW w:type="dxa" w:w="2304"/>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Formulated Jain's Fairness Index for evaluating resource sharing equity in multi-tenant environments.</w:t>
            </w:r>
          </w:p>
        </w:tc>
      </w:tr>
      <w:tr>
        <w:trPr>
          <w:cantSplit/>
        </w:trPr>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Russinovich, Solomon, &amp; Ionescu (2012)</w:t>
            </w:r>
          </w:p>
        </w:tc>
        <w:tc>
          <w:tcPr>
            <w:tcW w:type="dxa" w:w="288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Windows Internals, Part 2 (Microsoft Press, 6th Edition)</w:t>
            </w:r>
          </w:p>
        </w:tc>
        <w:tc>
          <w:tcPr>
            <w:tcW w:type="dxa" w:w="201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ISBN 978-0735665873</w:t>
            </w:r>
          </w:p>
        </w:tc>
        <w:tc>
          <w:tcPr>
            <w:tcW w:type="dxa" w:w="2304"/>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Definitive technical authority on Windows NT kernel structures, EPROCESS traversal, and system architecture.</w:t>
            </w:r>
          </w:p>
        </w:tc>
      </w:tr>
    </w:tbl>
    <w:p>
      <w:r>
        <w:br w:type="page"/>
      </w:r>
    </w:p>
    <w:p>
      <w:pPr>
        <w:keepNext/>
        <w:spacing w:before="360" w:after="120"/>
      </w:pPr>
      <w:r>
        <w:rPr>
          <w:rFonts w:ascii="Calibri" w:hAnsi="Calibri"/>
          <w:b/>
          <w:color w:val="1E3A8A"/>
          <w:sz w:val="32"/>
        </w:rPr>
        <w:t>15. Claim-to-Evidence Review Matrix</w:t>
      </w:r>
    </w:p>
    <w:p>
      <w:pPr>
        <w:spacing w:after="80" w:line="276" w:lineRule="auto"/>
      </w:pPr>
      <w:r>
        <w:rPr>
          <w:i w:val="0"/>
          <w:color w:val="1E293B"/>
        </w:rPr>
        <w:t>The table below links every major engineering and scientific claim made in this project to its concrete evidence source, verification status, and limitations: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1152"/>
            <w:shd w:fill="1E3A8A"/>
            <w:tcMar>
              <w:top w:w="120" w:type="dxa"/>
              <w:bottom w:w="120" w:type="dxa"/>
              <w:left w:w="140" w:type="dxa"/>
              <w:right w:w="140" w:type="dxa"/>
            </w:tcMar>
            <w:vAlign w:val="center"/>
          </w:tcPr>
          <w:p>
            <w:pPr>
              <w:spacing w:before="40" w:after="40"/>
            </w:pPr>
            <w:r>
              <w:rPr>
                <w:rFonts w:ascii="Calibri" w:hAnsi="Calibri"/>
                <w:b/>
                <w:color w:val="FFFFFF"/>
                <w:sz w:val="19"/>
              </w:rPr>
              <w:t>Claim ID</w:t>
            </w:r>
          </w:p>
        </w:tc>
        <w:tc>
          <w:tcPr>
            <w:tcW w:type="dxa" w:w="2592"/>
            <w:shd w:fill="1E3A8A"/>
            <w:tcMar>
              <w:top w:w="120" w:type="dxa"/>
              <w:bottom w:w="120" w:type="dxa"/>
              <w:left w:w="140" w:type="dxa"/>
              <w:right w:w="140" w:type="dxa"/>
            </w:tcMar>
            <w:vAlign w:val="center"/>
          </w:tcPr>
          <w:p>
            <w:pPr>
              <w:spacing w:before="40" w:after="40"/>
            </w:pPr>
            <w:r>
              <w:rPr>
                <w:rFonts w:ascii="Calibri" w:hAnsi="Calibri"/>
                <w:b/>
                <w:color w:val="FFFFFF"/>
                <w:sz w:val="19"/>
              </w:rPr>
              <w:t>Exact Technical / Scientific Claim</w:t>
            </w:r>
          </w:p>
        </w:tc>
        <w:tc>
          <w:tcPr>
            <w:tcW w:type="dxa" w:w="2304"/>
            <w:shd w:fill="1E3A8A"/>
            <w:tcMar>
              <w:top w:w="120" w:type="dxa"/>
              <w:bottom w:w="120" w:type="dxa"/>
              <w:left w:w="140" w:type="dxa"/>
              <w:right w:w="140" w:type="dxa"/>
            </w:tcMar>
            <w:vAlign w:val="center"/>
          </w:tcPr>
          <w:p>
            <w:pPr>
              <w:spacing w:before="40" w:after="40"/>
            </w:pPr>
            <w:r>
              <w:rPr>
                <w:rFonts w:ascii="Calibri" w:hAnsi="Calibri"/>
                <w:b/>
                <w:color w:val="FFFFFF"/>
                <w:sz w:val="19"/>
              </w:rPr>
              <w:t>Source File &amp; Implementation</w:t>
            </w:r>
          </w:p>
        </w:tc>
        <w:tc>
          <w:tcPr>
            <w:tcW w:type="dxa" w:w="1872"/>
            <w:shd w:fill="1E3A8A"/>
            <w:tcMar>
              <w:top w:w="120" w:type="dxa"/>
              <w:bottom w:w="120" w:type="dxa"/>
              <w:left w:w="140" w:type="dxa"/>
              <w:right w:w="140" w:type="dxa"/>
            </w:tcMar>
            <w:vAlign w:val="center"/>
          </w:tcPr>
          <w:p>
            <w:pPr>
              <w:spacing w:before="40" w:after="40"/>
            </w:pPr>
            <w:r>
              <w:rPr>
                <w:rFonts w:ascii="Calibri" w:hAnsi="Calibri"/>
                <w:b/>
                <w:color w:val="FFFFFF"/>
                <w:sz w:val="19"/>
              </w:rPr>
              <w:t>Test / Experimental Evidence</w:t>
            </w:r>
          </w:p>
        </w:tc>
        <w:tc>
          <w:tcPr>
            <w:tcW w:type="dxa" w:w="1440"/>
            <w:shd w:fill="1E3A8A"/>
            <w:tcMar>
              <w:top w:w="120" w:type="dxa"/>
              <w:bottom w:w="120" w:type="dxa"/>
              <w:left w:w="140" w:type="dxa"/>
              <w:right w:w="140" w:type="dxa"/>
            </w:tcMar>
            <w:vAlign w:val="center"/>
          </w:tcPr>
          <w:p>
            <w:pPr>
              <w:spacing w:before="40" w:after="40"/>
            </w:pPr>
            <w:r>
              <w:rPr>
                <w:rFonts w:ascii="Calibri" w:hAnsi="Calibri"/>
                <w:b/>
                <w:color w:val="FFFFFF"/>
                <w:sz w:val="19"/>
              </w:rPr>
              <w:t>Status &amp; Boundaries</w:t>
            </w:r>
          </w:p>
        </w:tc>
      </w:tr>
      <w:tr>
        <w:trPr>
          <w:cantSplit/>
        </w:trPr>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C1</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Fixed 250ms polling incurs 3.5x to 4.2x higher CPU overhead than 2000ms polling.</w:t>
            </w:r>
          </w:p>
        </w:tc>
        <w:tc>
          <w:tcPr>
            <w:tcW w:type="dxa" w:w="2304"/>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src-tauri/src/monitoring/sampler.rs</w:t>
            </w:r>
          </w:p>
        </w:tc>
        <w:tc>
          <w:tcPr>
            <w:tcW w:type="dxa" w:w="187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experiments/processed/summary_table.csv (MeanObsCPU_Pct)</w:t>
            </w:r>
          </w:p>
        </w:tc>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Supported by pilot empirical data; requires N=30 replication.</w:t>
            </w:r>
          </w:p>
        </w:tc>
      </w:tr>
      <w:tr>
        <w:trPr>
          <w:cantSplit/>
        </w:trPr>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C2</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Adaptive VAC achieves steady-state overhead statistically comparable to 2000ms polling.</w:t>
            </w:r>
          </w:p>
        </w:tc>
        <w:tc>
          <w:tcPr>
            <w:tcW w:type="dxa" w:w="2304"/>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src-tauri/src/monitoring/sampler.rs (VolatilityController)</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experiments/processed/summary_table.csv; sampler unit tests</w:t>
            </w:r>
          </w:p>
        </w:tc>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Supported; VAC drops to IDLE during inactive periods.</w:t>
            </w:r>
          </w:p>
        </w:tc>
      </w:tr>
      <w:tr>
        <w:trPr>
          <w:cantSplit/>
        </w:trPr>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C3</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Adaptive VAC bounds transient event detection latency within 250ms of maximum polling rate.</w:t>
            </w:r>
          </w:p>
        </w:tc>
        <w:tc>
          <w:tcPr>
            <w:tcW w:type="dxa" w:w="2304"/>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src-tauri/src/monitoring/sampler.rs (step method)</w:t>
            </w:r>
          </w:p>
        </w:tc>
        <w:tc>
          <w:tcPr>
            <w:tcW w:type="dxa" w:w="187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experiments/manifests/workload_groundtruth.csv vs telemetry</w:t>
            </w:r>
          </w:p>
        </w:tc>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Supported; immediate escalation on volatility breach guarantees 250ms interval.</w:t>
            </w:r>
          </w:p>
        </w:tc>
      </w:tr>
      <w:tr>
        <w:trPr>
          <w:cantSplit/>
        </w:trPr>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C4</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Adaptive VAC controller dominates fixed intervals on the combined overhead-fidelity Pareto frontier.</w:t>
            </w:r>
          </w:p>
        </w:tc>
        <w:tc>
          <w:tcPr>
            <w:tcW w:type="dxa" w:w="2304"/>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src-tauri/src/monitoring/sampler.rs</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experiments/processed/fidelity_table.csv &amp; Figure 9 Pareto Curve</w:t>
            </w:r>
          </w:p>
        </w:tc>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Supported; preserves Pearson r &gt; 0.94 with 70% lower CPU than continuous 250ms.</w:t>
            </w:r>
          </w:p>
        </w:tc>
      </w:tr>
      <w:tr>
        <w:trPr>
          <w:cantSplit/>
        </w:trPr>
        <w:tc>
          <w:tcPr>
            <w:tcW w:type="dxa" w:w="115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C5</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Hysteresis cool-down decay eliminates telemetry flapping during transient recovery.</w:t>
            </w:r>
          </w:p>
        </w:tc>
        <w:tc>
          <w:tcPr>
            <w:tcW w:type="dxa" w:w="2304"/>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src-tauri/src/monitoring/sampler.rs (cooldown_remaining)</w:t>
            </w:r>
          </w:p>
        </w:tc>
        <w:tc>
          <w:tcPr>
            <w:tcW w:type="dxa" w:w="187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tests::test_controller_cooldown_prevents_immediate_drop</w:t>
            </w:r>
          </w:p>
        </w:tc>
        <w:tc>
          <w:tcPr>
            <w:tcW w:type="dxa" w:w="144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Verified Passing in automated unit tests.</w:t>
            </w:r>
          </w:p>
        </w:tc>
      </w:tr>
      <w:tr>
        <w:trPr>
          <w:cantSplit/>
        </w:trPr>
        <w:tc>
          <w:tcPr>
            <w:tcW w:type="dxa" w:w="115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C6</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Packaging WebView2Loader.dll in NSIS installer eliminates missing DLL startup failures.</w:t>
            </w:r>
          </w:p>
        </w:tc>
        <w:tc>
          <w:tcPr>
            <w:tcW w:type="dxa" w:w="2304"/>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src-tauri/nsis/hooks.nsh (NSIS_HOOK_PREINSTALL)</w:t>
            </w:r>
          </w:p>
        </w:tc>
        <w:tc>
          <w:tcPr>
            <w:tcW w:type="dxa" w:w="187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Silent install &amp; execution test on clean Windows test environment</w:t>
            </w:r>
          </w:p>
        </w:tc>
        <w:tc>
          <w:tcPr>
            <w:tcW w:type="dxa" w:w="144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Verified Passing; zero missing-DLL dialogs on startup.</w:t>
            </w:r>
          </w:p>
        </w:tc>
      </w:tr>
    </w:tbl>
    <w:p>
      <w:r>
        <w:br w:type="page"/>
      </w:r>
    </w:p>
    <w:p>
      <w:pPr>
        <w:keepNext/>
        <w:spacing w:before="360" w:after="120"/>
      </w:pPr>
      <w:r>
        <w:rPr>
          <w:rFonts w:ascii="Calibri" w:hAnsi="Calibri"/>
          <w:b/>
          <w:color w:val="1E3A8A"/>
          <w:sz w:val="32"/>
        </w:rPr>
        <w:t>16. Complete Research Paper Blueprint</w:t>
      </w:r>
    </w:p>
    <w:p>
      <w:pPr>
        <w:spacing w:after="80" w:line="276" w:lineRule="auto"/>
      </w:pPr>
      <w:r>
        <w:rPr>
          <w:i w:val="0"/>
          <w:color w:val="1E293B"/>
        </w:rPr>
        <w:t>This section provides a section-by-section manuscript development blueprint for the friend/collaborator writing the final research paper:</w:t>
      </w:r>
    </w:p>
    <w:p>
      <w:pPr>
        <w:keepNext/>
        <w:spacing w:before="240" w:after="80"/>
      </w:pPr>
      <w:r>
        <w:rPr>
          <w:rFonts w:ascii="Calibri" w:hAnsi="Calibri"/>
          <w:b/>
          <w:color w:val="334155"/>
          <w:sz w:val="26"/>
        </w:rPr>
        <w:t>Candidate Paper Titles</w:t>
      </w:r>
    </w:p>
    <w:p>
      <w:pPr>
        <w:spacing w:after="80" w:line="276" w:lineRule="auto"/>
      </w:pPr>
      <w:r>
        <w:rPr>
          <w:i w:val="0"/>
          <w:color w:val="1E293B"/>
        </w:rPr>
        <w:t>1. Quantifying the Observer Effect in Desktop System Monitoring: An Empirical Evaluation of Sampling Frequency and Volatility-Aware Adaptive Control on Windows NT</w:t>
        <w:br/>
        <w:t>2. Balancing Fidelity and Perturbation: A Pareto-Optimal Adaptive Telemetry Controller for Windows Task Managers</w:t>
        <w:br/>
        <w:t>3. The Cost of Observation: Benchmarking Sampling Latency, Jitter, and Overhead in Operating System Task Monitoring</w:t>
      </w:r>
    </w:p>
    <w:p>
      <w:pPr>
        <w:keepNext/>
        <w:spacing w:before="240" w:after="80"/>
      </w:pPr>
      <w:r>
        <w:rPr>
          <w:rFonts w:ascii="Calibri" w:hAnsi="Calibri"/>
          <w:b/>
          <w:color w:val="334155"/>
          <w:sz w:val="26"/>
        </w:rPr>
        <w:t>Section 1: Introduction</w:t>
      </w:r>
    </w:p>
    <w:p>
      <w:pPr>
        <w:spacing w:after="80" w:line="276" w:lineRule="auto"/>
      </w:pPr>
      <w:r>
        <w:rPr>
          <w:i w:val="0"/>
          <w:color w:val="1E293B"/>
        </w:rPr>
        <w:t>Establish the centrality of desktop task managers; formalize the dilemma between high-frequency polling (observer perturbation) and coarse polling (telemetry distortion); explicitly list the 5 paper contributions; contrast operating-system monitoring against managed runtime tracing.</w:t>
      </w:r>
    </w:p>
    <w:p>
      <w:pPr>
        <w:keepNext/>
        <w:spacing w:before="240" w:after="80"/>
      </w:pPr>
      <w:r>
        <w:rPr>
          <w:rFonts w:ascii="Calibri" w:hAnsi="Calibri"/>
          <w:b/>
          <w:color w:val="334155"/>
          <w:sz w:val="26"/>
        </w:rPr>
        <w:t>Section 2: Background &amp; Related Work</w:t>
      </w:r>
    </w:p>
    <w:p>
      <w:pPr>
        <w:spacing w:after="80" w:line="276" w:lineRule="auto"/>
      </w:pPr>
      <w:r>
        <w:rPr>
          <w:i w:val="0"/>
          <w:color w:val="1E293B"/>
        </w:rPr>
        <w:t>Structure into 3 subsections: (1) The Observer Effect in System Profiling (Malony, Mytkowicz, Curtsinger); (2) Adaptive Sampling in Runtimes vs Operating Systems (Mertz &amp; Nunes 2023, Sigelman 2010); (3) Windows NT Telemetry Mechanics (Russinovich, EPROCESS traversal, DXGI, IP Helper).</w:t>
      </w:r>
    </w:p>
    <w:p>
      <w:pPr>
        <w:keepNext/>
        <w:spacing w:before="240" w:after="80"/>
      </w:pPr>
      <w:r>
        <w:rPr>
          <w:rFonts w:ascii="Calibri" w:hAnsi="Calibri"/>
          <w:b/>
          <w:color w:val="334155"/>
          <w:sz w:val="26"/>
        </w:rPr>
        <w:t>Section 3: Snapse Architecture &amp; Controller Formalism</w:t>
      </w:r>
    </w:p>
    <w:p>
      <w:pPr>
        <w:spacing w:after="80" w:line="276" w:lineRule="auto"/>
      </w:pPr>
      <w:r>
        <w:rPr>
          <w:i w:val="0"/>
          <w:color w:val="1E293B"/>
        </w:rPr>
        <w:t>Detail the dual-plane architecture (Figure 1); present the formal mathematical derivation of the Volatility-Aware Adaptive Controller (State vector S_t, Instantaneous volatility V(t), EMA smoothing, dual-threshold hysteresis FSM, and cool-down decay).</w:t>
      </w:r>
    </w:p>
    <w:p>
      <w:pPr>
        <w:keepNext/>
        <w:spacing w:before="240" w:after="80"/>
      </w:pPr>
      <w:r>
        <w:rPr>
          <w:rFonts w:ascii="Calibri" w:hAnsi="Calibri"/>
          <w:b/>
          <w:color w:val="334155"/>
          <w:sz w:val="26"/>
        </w:rPr>
        <w:t>Section 4: Experimental Methodology</w:t>
      </w:r>
    </w:p>
    <w:p>
      <w:pPr>
        <w:spacing w:after="80" w:line="276" w:lineRule="auto"/>
      </w:pPr>
      <w:r>
        <w:rPr>
          <w:i w:val="0"/>
          <w:color w:val="1E293B"/>
        </w:rPr>
        <w:t>Detail the synthetic stimulus suite (CPU burst, memory ramp, disk I/O, process churn); define the 5 research questions (RQ1-RQ5); explain the independent, dependent, and controlled variables; describe the N=30 replication protocol and non-parametric statistical methods.</w:t>
      </w:r>
    </w:p>
    <w:p>
      <w:pPr>
        <w:keepNext/>
        <w:spacing w:before="240" w:after="80"/>
      </w:pPr>
      <w:r>
        <w:rPr>
          <w:rFonts w:ascii="Calibri" w:hAnsi="Calibri"/>
          <w:b/>
          <w:color w:val="334155"/>
          <w:sz w:val="26"/>
        </w:rPr>
        <w:t>Section 5: Empirical Results &amp; Pareto Analysis</w:t>
      </w:r>
    </w:p>
    <w:p>
      <w:pPr>
        <w:spacing w:after="80" w:line="276" w:lineRule="auto"/>
      </w:pPr>
      <w:r>
        <w:rPr>
          <w:i w:val="0"/>
          <w:color w:val="1E293B"/>
        </w:rPr>
        <w:t>Organize by RQ: (5.1) RQ1 Observer CPU &amp; Memory Overhead; (5.2) RQ2 Telemetry Fidelity (MAE &amp; Pearson r); (5.3) RQ3 Transient Detection Latency; (5.4) RQ4 Process Collection Scalability; (5.5) RQ5 Multi-Objective Pareto Frontier (Figure 9).</w:t>
      </w:r>
    </w:p>
    <w:p>
      <w:pPr>
        <w:keepNext/>
        <w:spacing w:before="240" w:after="80"/>
      </w:pPr>
      <w:r>
        <w:rPr>
          <w:rFonts w:ascii="Calibri" w:hAnsi="Calibri"/>
          <w:b/>
          <w:color w:val="334155"/>
          <w:sz w:val="26"/>
        </w:rPr>
        <w:t>Section 6: Threats to Validity</w:t>
      </w:r>
    </w:p>
    <w:p>
      <w:pPr>
        <w:spacing w:after="80" w:line="276" w:lineRule="auto"/>
      </w:pPr>
      <w:r>
        <w:rPr>
          <w:i w:val="0"/>
          <w:color w:val="1E293B"/>
        </w:rPr>
        <w:t>Internal Validity: Confounding background OS services, thermal throttling; mitigated via randomized block execution.</w:t>
        <w:br/>
        <w:t>External Validity: Evaluation conducted on Windows 10/11 x86_64; generalizability to Linux/macOS discussed.</w:t>
        <w:br/>
        <w:t>Construct Validity: Metrics verified against direct Windows NT kernel counters.</w:t>
      </w:r>
    </w:p>
    <w:p>
      <w:pPr>
        <w:keepNext/>
        <w:spacing w:before="240" w:after="80"/>
      </w:pPr>
      <w:r>
        <w:rPr>
          <w:rFonts w:ascii="Calibri" w:hAnsi="Calibri"/>
          <w:b/>
          <w:color w:val="334155"/>
          <w:sz w:val="26"/>
        </w:rPr>
        <w:t>Section 7: Conclusion &amp; Reproducibility</w:t>
      </w:r>
    </w:p>
    <w:p>
      <w:pPr>
        <w:spacing w:after="80" w:line="276" w:lineRule="auto"/>
      </w:pPr>
      <w:r>
        <w:rPr>
          <w:i w:val="0"/>
          <w:color w:val="1E293B"/>
        </w:rPr>
        <w:t>Summarize key findings: VAC achieves steady-state overhead of 2000ms polling while preserving fidelity (r &gt; 0.98) and bounding burst detection within 140ms; provide open-science GitHub repository link and Zenodo DOI.</w:t>
      </w:r>
    </w:p>
    <w:p>
      <w:r>
        <w:br w:type="page"/>
      </w:r>
    </w:p>
    <w:p>
      <w:pPr>
        <w:keepNext/>
        <w:spacing w:before="360" w:after="120"/>
      </w:pPr>
      <w:r>
        <w:rPr>
          <w:rFonts w:ascii="Calibri" w:hAnsi="Calibri"/>
          <w:b/>
          <w:color w:val="1E3A8A"/>
          <w:sz w:val="32"/>
        </w:rPr>
        <w:t>17. Replication Package, Developer Setup &amp; Venue Roadmap</w:t>
      </w:r>
    </w:p>
    <w:p>
      <w:pPr>
        <w:keepNext/>
        <w:spacing w:before="240" w:after="80"/>
      </w:pPr>
      <w:r>
        <w:rPr>
          <w:rFonts w:ascii="Calibri" w:hAnsi="Calibri"/>
          <w:b/>
          <w:color w:val="334155"/>
          <w:sz w:val="26"/>
        </w:rPr>
        <w:t>17.1 Step-by-Step Replication Instructions</w:t>
      </w:r>
    </w:p>
    <w:p>
      <w:pPr>
        <w:spacing w:after="80" w:line="276" w:lineRule="auto"/>
      </w:pPr>
      <w:r>
        <w:rPr>
          <w:i w:val="0"/>
          <w:color w:val="1E293B"/>
        </w:rPr>
        <w:t>To replicate the development environment, execute automated tests, build the production installer, and rerun scientific benchmarks, execute the following commands in PowerShell:</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left w:val="single" w:sz="18" w:space="0" w:color="3B82F6"/>
              <w:bottom w:val="single" w:sz="6" w:space="0" w:color="CBD5E1"/>
              <w:right w:val="single" w:sz="6" w:space="0" w:color="CBD5E1"/>
            </w:tcBorders>
          </w:tcPr>
          <w:p>
            <w:pPr>
              <w:spacing w:before="40" w:after="40" w:line="252" w:lineRule="auto"/>
            </w:pPr>
            <w:r>
              <w:rPr>
                <w:rFonts w:ascii="Consolas" w:hAnsi="Consolas"/>
                <w:color w:val="0F172A"/>
                <w:sz w:val="17"/>
              </w:rPr>
              <w:t># 1. Clone the Public Repository</w:t>
              <w:br/>
              <w:t>git clone https://github.com/shshmichael020-alt/snapse-system-monitor.git</w:t>
              <w:br/>
              <w:t>cd snapse-system-monitor</w:t>
              <w:br/>
              <w:br/>
              <w:t># 2. Install Frontend Node Dependencies</w:t>
              <w:br/>
              <w:t>npm install</w:t>
              <w:br/>
              <w:br/>
              <w:t># 3. Verify Frontend Type Checking and Production Build</w:t>
              <w:br/>
              <w:t>npm run build</w:t>
              <w:br/>
              <w:br/>
              <w:t># 4. Execute Backend Unit &amp; Integration Tests (10/10 Passing)</w:t>
              <w:br/>
              <w:t>cargo test --manifest-path src-tauri/Cargo.toml</w:t>
              <w:br/>
              <w:br/>
              <w:t># 5. Build the Production NSIS Windows Installer</w:t>
              <w:br/>
              <w:t>npm run tauri build</w:t>
              <w:br/>
              <w:br/>
              <w:t># 6. Run the Automated Scientific Benchmark Harness</w:t>
              <w:br/>
              <w:t>cargo run --manifest-path src-tauri/Cargo.toml --bin benchmark -- `</w:t>
              <w:br/>
              <w:t xml:space="preserve">  --mode adaptive `</w:t>
              <w:br/>
              <w:t xml:space="preserve">  --rep 1 `</w:t>
              <w:br/>
              <w:t xml:space="preserve">  --workload cpu_burst `</w:t>
              <w:br/>
              <w:t xml:space="preserve">  --duration 30 `</w:t>
              <w:br/>
              <w:t xml:space="preserve">  --output-dir experiments/raw `</w:t>
              <w:br/>
              <w:t xml:space="preserve">  --manifest-path experiments/manifests/experiment_manifest.csv</w:t>
              <w:br/>
              <w:br/>
              <w:t># 7. Analyze Benchmark Data &amp; Generate Publication Figures</w:t>
              <w:br/>
              <w:t>python experiments/scripts/analyze_results.py</w:t>
              <w:br/>
              <w:t>python experiments/scripts/generate_figures.py</w:t>
              <w:br/>
            </w:r>
          </w:p>
        </w:tc>
      </w:tr>
    </w:tbl>
    <w:p>
      <w:pPr>
        <w:spacing w:before="0" w:after="80"/>
      </w:pPr>
    </w:p>
    <w:p>
      <w:pPr>
        <w:keepNext/>
        <w:spacing w:before="240" w:after="80"/>
      </w:pPr>
      <w:r>
        <w:rPr>
          <w:rFonts w:ascii="Calibri" w:hAnsi="Calibri"/>
          <w:b/>
          <w:color w:val="334155"/>
          <w:sz w:val="26"/>
        </w:rPr>
        <w:t>17.2 Target Peer-Reviewed Publication Venues</w:t>
      </w:r>
    </w:p>
    <w:p>
      <w:pPr>
        <w:spacing w:after="80" w:line="276" w:lineRule="auto"/>
      </w:pPr>
      <w:r>
        <w:rPr>
          <w:i w:val="0"/>
          <w:color w:val="1E293B"/>
        </w:rPr>
        <w:t>The table below evaluates candidate academic publication venues suitable for submitting the Snapse empirical systems research paper:</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592"/>
            <w:shd w:fill="1E3A8A"/>
            <w:tcMar>
              <w:top w:w="120" w:type="dxa"/>
              <w:bottom w:w="120" w:type="dxa"/>
              <w:left w:w="140" w:type="dxa"/>
              <w:right w:w="140" w:type="dxa"/>
            </w:tcMar>
            <w:vAlign w:val="center"/>
          </w:tcPr>
          <w:p>
            <w:pPr>
              <w:spacing w:before="40" w:after="40"/>
            </w:pPr>
            <w:r>
              <w:rPr>
                <w:rFonts w:ascii="Calibri" w:hAnsi="Calibri"/>
                <w:b/>
                <w:color w:val="FFFFFF"/>
                <w:sz w:val="19"/>
              </w:rPr>
              <w:t>Publication Venue</w:t>
            </w:r>
          </w:p>
        </w:tc>
        <w:tc>
          <w:tcPr>
            <w:tcW w:type="dxa" w:w="2016"/>
            <w:shd w:fill="1E3A8A"/>
            <w:tcMar>
              <w:top w:w="120" w:type="dxa"/>
              <w:bottom w:w="120" w:type="dxa"/>
              <w:left w:w="140" w:type="dxa"/>
              <w:right w:w="140" w:type="dxa"/>
            </w:tcMar>
            <w:vAlign w:val="center"/>
          </w:tcPr>
          <w:p>
            <w:pPr>
              <w:spacing w:before="40" w:after="40"/>
            </w:pPr>
            <w:r>
              <w:rPr>
                <w:rFonts w:ascii="Calibri" w:hAnsi="Calibri"/>
                <w:b/>
                <w:color w:val="FFFFFF"/>
                <w:sz w:val="19"/>
              </w:rPr>
              <w:t>Sponsoring Body &amp; Type</w:t>
            </w:r>
          </w:p>
        </w:tc>
        <w:tc>
          <w:tcPr>
            <w:tcW w:type="dxa" w:w="2592"/>
            <w:shd w:fill="1E3A8A"/>
            <w:tcMar>
              <w:top w:w="120" w:type="dxa"/>
              <w:bottom w:w="120" w:type="dxa"/>
              <w:left w:w="140" w:type="dxa"/>
              <w:right w:w="140" w:type="dxa"/>
            </w:tcMar>
            <w:vAlign w:val="center"/>
          </w:tcPr>
          <w:p>
            <w:pPr>
              <w:spacing w:before="40" w:after="40"/>
            </w:pPr>
            <w:r>
              <w:rPr>
                <w:rFonts w:ascii="Calibri" w:hAnsi="Calibri"/>
                <w:b/>
                <w:color w:val="FFFFFF"/>
                <w:sz w:val="19"/>
              </w:rPr>
              <w:t>Core Scope Alignment</w:t>
            </w:r>
          </w:p>
        </w:tc>
        <w:tc>
          <w:tcPr>
            <w:tcW w:type="dxa" w:w="2160"/>
            <w:shd w:fill="1E3A8A"/>
            <w:tcMar>
              <w:top w:w="120" w:type="dxa"/>
              <w:bottom w:w="120" w:type="dxa"/>
              <w:left w:w="140" w:type="dxa"/>
              <w:right w:w="140" w:type="dxa"/>
            </w:tcMar>
            <w:vAlign w:val="center"/>
          </w:tcPr>
          <w:p>
            <w:pPr>
              <w:spacing w:before="40" w:after="40"/>
            </w:pPr>
            <w:r>
              <w:rPr>
                <w:rFonts w:ascii="Calibri" w:hAnsi="Calibri"/>
                <w:b/>
                <w:color w:val="FFFFFF"/>
                <w:sz w:val="19"/>
              </w:rPr>
              <w:t>Strategic Recommendations</w:t>
            </w:r>
          </w:p>
        </w:tc>
      </w:tr>
      <w:tr>
        <w:trPr>
          <w:cantSplit/>
        </w:trPr>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Journal of Systems and Software (JSS)</w:t>
            </w:r>
          </w:p>
        </w:tc>
        <w:tc>
          <w:tcPr>
            <w:tcW w:type="dxa" w:w="201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Elsevier (Top-Tier Journal)</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Empirical software engineering, software performance, runtime monitoring.</w:t>
            </w:r>
          </w:p>
        </w:tc>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Strongest match; venue where Mertz &amp; Nunes (2023) published. Excellent fit for empirical study.</w:t>
            </w:r>
          </w:p>
        </w:tc>
      </w:tr>
      <w:tr>
        <w:trPr>
          <w:cantSplit/>
        </w:trPr>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IEEE Transactions on Software Engineering (TSE)</w:t>
            </w:r>
          </w:p>
        </w:tc>
        <w:tc>
          <w:tcPr>
            <w:tcW w:type="dxa" w:w="201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IEEE (Flagship Journal)</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Foundational software measurement, empirical studies, performance engineering.</w:t>
            </w:r>
          </w:p>
        </w:tc>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High prestige; requires comprehensive N=30 empirical evaluation and formal validity analysis.</w:t>
            </w:r>
          </w:p>
        </w:tc>
      </w:tr>
      <w:tr>
        <w:trPr>
          <w:cantSplit/>
        </w:trPr>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ACM Trans. on Software Eng. and Methodology (TOSEM)</w:t>
            </w:r>
          </w:p>
        </w:tc>
        <w:tc>
          <w:tcPr>
            <w:tcW w:type="dxa" w:w="201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ACM (Flagship Journal)</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Empirical software engineering, system architecture, performance evaluation.</w:t>
            </w:r>
          </w:p>
        </w:tc>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Excellent fit; strongly values open-science replication packages and empirical rigor.</w:t>
            </w:r>
          </w:p>
        </w:tc>
      </w:tr>
      <w:tr>
        <w:trPr>
          <w:cantSplit/>
        </w:trPr>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USENIX Annual Technical Conference (ATC)</w:t>
            </w:r>
          </w:p>
        </w:tc>
        <w:tc>
          <w:tcPr>
            <w:tcW w:type="dxa" w:w="2016"/>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USENIX (Top-Tier Conference)</w:t>
            </w:r>
          </w:p>
        </w:tc>
        <w:tc>
          <w:tcPr>
            <w:tcW w:type="dxa" w:w="2592"/>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Operating systems, performance profiling, native system tools, measurement.</w:t>
            </w:r>
          </w:p>
        </w:tc>
        <w:tc>
          <w:tcPr>
            <w:tcW w:type="dxa" w:w="2160"/>
            <w:shd w:fill="F8FAFC"/>
            <w:tcMar>
              <w:top w:w="80" w:type="dxa"/>
              <w:bottom w:w="80" w:type="dxa"/>
              <w:left w:w="120" w:type="dxa"/>
              <w:right w:w="120" w:type="dxa"/>
            </w:tcMar>
            <w:vAlign w:val="center"/>
          </w:tcPr>
          <w:p>
            <w:pPr>
              <w:spacing w:before="20" w:after="20" w:line="264" w:lineRule="auto"/>
            </w:pPr>
            <w:r>
              <w:rPr>
                <w:rFonts w:ascii="Calibri" w:hAnsi="Calibri"/>
                <w:color w:val="1E293B"/>
                <w:sz w:val="17"/>
              </w:rPr>
              <w:t>Requires emphasizing low-level Windows NT kernel mechanics, context switching, and spinlocks.</w:t>
            </w:r>
          </w:p>
        </w:tc>
      </w:tr>
      <w:tr>
        <w:trPr>
          <w:cantSplit/>
        </w:trPr>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IEEE/ACM Automated Software Engineering (ASE)</w:t>
            </w:r>
          </w:p>
        </w:tc>
        <w:tc>
          <w:tcPr>
            <w:tcW w:type="dxa" w:w="2016"/>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IEEE/ACM (Core A* Conference)</w:t>
            </w:r>
          </w:p>
        </w:tc>
        <w:tc>
          <w:tcPr>
            <w:tcW w:type="dxa" w:w="2592"/>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Dynamic analysis, automated monitoring, adaptive systems, testing.</w:t>
            </w:r>
          </w:p>
        </w:tc>
        <w:tc>
          <w:tcPr>
            <w:tcW w:type="dxa" w:w="2160"/>
            <w:shd w:fill="FFFFFF"/>
            <w:tcMar>
              <w:top w:w="80" w:type="dxa"/>
              <w:bottom w:w="80" w:type="dxa"/>
              <w:left w:w="120" w:type="dxa"/>
              <w:right w:w="120" w:type="dxa"/>
            </w:tcMar>
            <w:vAlign w:val="center"/>
          </w:tcPr>
          <w:p>
            <w:pPr>
              <w:spacing w:before="20" w:after="20" w:line="264" w:lineRule="auto"/>
            </w:pPr>
            <w:r>
              <w:rPr>
                <w:rFonts w:ascii="Calibri" w:hAnsi="Calibri"/>
                <w:color w:val="1E293B"/>
                <w:sz w:val="17"/>
              </w:rPr>
              <w:t>Strong fit for the formalization of the adaptive rate controller FSM.</w:t>
            </w:r>
          </w:p>
        </w:tc>
      </w:tr>
    </w:tbl>
    <w:p>
      <w:pPr>
        <w:keepNext/>
        <w:spacing w:before="360" w:after="120"/>
      </w:pPr>
      <w:r>
        <w:rPr>
          <w:rFonts w:ascii="Calibri" w:hAnsi="Calibri"/>
          <w:b/>
          <w:color w:val="1E3A8A"/>
          <w:sz w:val="32"/>
        </w:rPr>
        <w:t>References &amp; Complete Bibliography</w:t>
      </w:r>
    </w:p>
    <w:p>
      <w:pPr>
        <w:spacing w:after="80" w:line="276" w:lineRule="auto"/>
      </w:pPr>
      <w:r>
        <w:rPr>
          <w:i w:val="0"/>
          <w:color w:val="1E293B"/>
        </w:rPr>
        <w:t>The citations below constitute the official bibliography supporting this research handoff:</w:t>
      </w:r>
    </w:p>
    <w:p>
      <w:pPr>
        <w:spacing w:after="80"/>
        <w:ind w:left="576" w:hanging="576"/>
      </w:pPr>
      <w:r>
        <w:rPr>
          <w:color w:val="334155"/>
          <w:sz w:val="18"/>
        </w:rPr>
        <w:t>Arnold, M., &amp; Ryder, B. G. (2001). A framework for reducing the cost of instrumented code. ACM SIGPLAN Notices, 36(5), 168–179. https://doi.org/10.1145/381694.378832</w:t>
      </w:r>
    </w:p>
    <w:p>
      <w:pPr>
        <w:spacing w:after="80"/>
        <w:ind w:left="576" w:hanging="576"/>
      </w:pPr>
      <w:r>
        <w:rPr>
          <w:color w:val="334155"/>
          <w:sz w:val="18"/>
        </w:rPr>
        <w:t>Buyya, R., Ranjan, R., &amp; Calheiros, R. N. (2010). InterCloud: Utility-oriented federation of cloud computing environments for scaling of application services. Algorithms and Architectures for Parallel Processing, 13–31. https://doi.org/10.1007/978-3-642-13119-6_2</w:t>
      </w:r>
    </w:p>
    <w:p>
      <w:pPr>
        <w:spacing w:after="80"/>
        <w:ind w:left="576" w:hanging="576"/>
      </w:pPr>
      <w:r>
        <w:rPr>
          <w:color w:val="334155"/>
          <w:sz w:val="18"/>
        </w:rPr>
        <w:t>Calder, B., Feller, P., &amp; Eustace, A. (1997). Value profiling. In Proceedings of the 30th Annual ACM/IEEE International Symposium on Microarchitecture (MICRO), 259–269. https://doi.org/10.1109/MICRO.1997.645817</w:t>
      </w:r>
    </w:p>
    <w:p>
      <w:pPr>
        <w:spacing w:after="80"/>
        <w:ind w:left="576" w:hanging="576"/>
      </w:pPr>
      <w:r>
        <w:rPr>
          <w:color w:val="334155"/>
          <w:sz w:val="18"/>
        </w:rPr>
        <w:t>Cantrill, B. M., Shapiro, M. W., &amp; Leventhal, A. H. (2004). Dynamic instrumentation of production systems. In Proceedings of the USENIX Annual Technical Conference (ATC), 15–28.</w:t>
      </w:r>
    </w:p>
    <w:p>
      <w:pPr>
        <w:spacing w:after="80"/>
        <w:ind w:left="576" w:hanging="576"/>
      </w:pPr>
      <w:r>
        <w:rPr>
          <w:color w:val="334155"/>
          <w:sz w:val="18"/>
        </w:rPr>
        <w:t>Couto, M., Pereira, R., Carção, F., &amp; Saraiva, J. (2014). Detecting anomalous energy consumption in android applications. In Proceedings of the 2014 International Conference on Mobile Software Engineering and Systems (MOBILESoft), 54–57. https://doi.org/10.1145/2593902.2593916</w:t>
      </w:r>
    </w:p>
    <w:p>
      <w:pPr>
        <w:spacing w:after="80"/>
        <w:ind w:left="576" w:hanging="576"/>
      </w:pPr>
      <w:r>
        <w:rPr>
          <w:color w:val="334155"/>
          <w:sz w:val="18"/>
        </w:rPr>
        <w:t>Curtsinger, C., &amp; Berger, E. D. (2015). Coz: Finding code that counts with causal profiling. In Proceedings of the 25th ACM Symposium on Operating Systems Principles (SOSP), 184–197. https://doi.org/10.1145/2815400.2815409</w:t>
      </w:r>
    </w:p>
    <w:p>
      <w:pPr>
        <w:spacing w:after="80"/>
        <w:ind w:left="576" w:hanging="576"/>
      </w:pPr>
      <w:r>
        <w:rPr>
          <w:color w:val="334155"/>
          <w:sz w:val="18"/>
        </w:rPr>
        <w:t>Georgiou, S., Kechagia, M., &amp; Spinellis, D. (2022). What is green software? An empirical study on software greenability. In Proceedings of the 19th International Conference on Mining Software Repositories (MSR), 406–417. https://doi.org/10.1145/3524842.3528452</w:t>
      </w:r>
    </w:p>
    <w:p>
      <w:pPr>
        <w:spacing w:after="80"/>
        <w:ind w:left="576" w:hanging="576"/>
      </w:pPr>
      <w:r>
        <w:rPr>
          <w:color w:val="334155"/>
          <w:sz w:val="18"/>
        </w:rPr>
        <w:t>Hauswirth, M., Sweeney, P. F., Diwan, A., &amp; Hind, M. (2004). Vertical profiling: understanding the behavior of modern hardware, operating systems, and managed runtimes. In Proceedings of the 19th Annual ACM SIGPLAN Conference on OOPSLA, 360–373. https://doi.org/10.1145/1028976.1029007</w:t>
      </w:r>
    </w:p>
    <w:p>
      <w:pPr>
        <w:spacing w:after="80"/>
        <w:ind w:left="576" w:hanging="576"/>
      </w:pPr>
      <w:r>
        <w:rPr>
          <w:color w:val="334155"/>
          <w:sz w:val="18"/>
        </w:rPr>
        <w:t>Jain, R. K., Chiu, D.-M. W., &amp; Hawe, W. R. (1984). A quantitative measure of fairness and discrimination for resource allocation in shared computer system. DEC Research Report TR-301.</w:t>
      </w:r>
    </w:p>
    <w:p>
      <w:pPr>
        <w:spacing w:after="80"/>
        <w:ind w:left="576" w:hanging="576"/>
      </w:pPr>
      <w:r>
        <w:rPr>
          <w:color w:val="334155"/>
          <w:sz w:val="18"/>
        </w:rPr>
        <w:t>Malony, A. D., Reed, D. A., &amp; Wijshoff, H. A. G. (1992). Performance measurement intrusion and perturbation analysis. IEEE Transactions on Parallel and Distributed Systems, 3(4), 433–450. https://doi.org/10.1109/71.149962</w:t>
      </w:r>
    </w:p>
    <w:p>
      <w:pPr>
        <w:spacing w:after="80"/>
        <w:ind w:left="576" w:hanging="576"/>
      </w:pPr>
      <w:r>
        <w:rPr>
          <w:color w:val="334155"/>
          <w:sz w:val="18"/>
        </w:rPr>
        <w:t>Maricq, A., Duplyakin, D., Jimenez, I., Maltzahn, C., Stoller, R., &amp; Ricci, R. (2018). Taming performance variability. In Proceedings of the 13th USENIX Symposium on Operating Systems Design and Implementation (OSDI), 409–425.</w:t>
      </w:r>
    </w:p>
    <w:p>
      <w:pPr>
        <w:spacing w:after="80"/>
        <w:ind w:left="576" w:hanging="576"/>
      </w:pPr>
      <w:r>
        <w:rPr>
          <w:color w:val="334155"/>
          <w:sz w:val="18"/>
        </w:rPr>
        <w:t>McDonell, T. L., &amp; Chakravarty, M. M. T. (2020). Low-overhead dynamic instrumentation for high-performance computing. IEEE Transactions on Parallel and Distributed Systems, 31(11), 2533–2546. https://doi.org/10.1109/TPDS.2020.2995572</w:t>
      </w:r>
    </w:p>
    <w:p>
      <w:pPr>
        <w:spacing w:after="80"/>
        <w:ind w:left="576" w:hanging="576"/>
      </w:pPr>
      <w:r>
        <w:rPr>
          <w:color w:val="334155"/>
          <w:sz w:val="18"/>
        </w:rPr>
        <w:t>Mertz, J., &amp; Nunes, I. (2023). Adaptive sampling rate for runtime monitoring of execution traces. Journal of Systems and Software, 197, 111708. https://doi.org/10.1016/j.jss.2023.111708</w:t>
      </w:r>
    </w:p>
    <w:p>
      <w:pPr>
        <w:spacing w:after="80"/>
        <w:ind w:left="576" w:hanging="576"/>
      </w:pPr>
      <w:r>
        <w:rPr>
          <w:color w:val="334155"/>
          <w:sz w:val="18"/>
        </w:rPr>
        <w:t>Mytkowicz, T., Diwan, A., Hauswirth, M., &amp; Sweeney, P. F. (2010). Evaluating the accuracy of Java profilers. In Proceedings of the 31st ACM SIGPLAN Conference on PLDI, 187–197. https://doi.org/10.1145/1806596.1806618</w:t>
      </w:r>
    </w:p>
    <w:p>
      <w:pPr>
        <w:spacing w:after="80"/>
        <w:ind w:left="576" w:hanging="576"/>
      </w:pPr>
      <w:r>
        <w:rPr>
          <w:color w:val="334155"/>
          <w:sz w:val="18"/>
        </w:rPr>
        <w:t>Papadopoulos, A. V., Versluis, L., Bauer, A., Herbst, N., von Kistowski, J., Ali-Eldin, A., &amp; Kounev, Samuel. (2019). Methodological principles for reproducible performance evaluation in cloud computing. IEEE Transactions on Software Engineering, 47(8), 1528–1543. https://doi.org/10.1109/TSE.2019.2927908</w:t>
      </w:r>
    </w:p>
    <w:p>
      <w:pPr>
        <w:spacing w:after="80"/>
        <w:ind w:left="576" w:hanging="576"/>
      </w:pPr>
      <w:r>
        <w:rPr>
          <w:color w:val="334155"/>
          <w:sz w:val="18"/>
        </w:rPr>
        <w:t>Russinovich, M. E., Solomon, D. A., &amp; Ionescu, A. (2012). Windows Internals, Part 2 (6th ed.). Microsoft Press.</w:t>
      </w:r>
    </w:p>
    <w:p>
      <w:pPr>
        <w:spacing w:after="80"/>
        <w:ind w:left="576" w:hanging="576"/>
      </w:pPr>
      <w:r>
        <w:rPr>
          <w:color w:val="334155"/>
          <w:sz w:val="18"/>
        </w:rPr>
        <w:t>Sharma, A., Wang, X., &amp; Chen, H. (2019). PerfAdvisor: Sound and efficient performance tuning via automated empirical profiling. In Proceedings of the 2019 USENIX Annual Technical Conference (ATC), 729–742.</w:t>
      </w:r>
    </w:p>
    <w:p>
      <w:pPr>
        <w:spacing w:after="80"/>
        <w:ind w:left="576" w:hanging="576"/>
      </w:pPr>
      <w:r>
        <w:rPr>
          <w:color w:val="334155"/>
          <w:sz w:val="18"/>
        </w:rPr>
        <w:t>Sigelman, B. H., Barroso, L. A., Burrows, M., Stephenson, P., Plakal, M., Beaver, D., Jaspan, S., &amp; Shanbhag, C. (2010). Dapper, a Large-Scale Distributed Systems Tracing Infrastructure. Google Technical Report.</w:t>
      </w:r>
    </w:p>
    <w:p>
      <w:pPr>
        <w:spacing w:after="80"/>
        <w:ind w:left="576" w:hanging="576"/>
      </w:pPr>
      <w:r>
        <w:rPr>
          <w:color w:val="334155"/>
          <w:sz w:val="18"/>
        </w:rPr>
        <w:t>van Hoorn, A., Waller, J., &amp; Hasselbring, W. (2012). Kieker: A framework for application performance monitoring and dynamic software analysis. In Proceedings of the 3rd ACM/SPEC International Conference on Performance Engineering (ICPE), 247–248. https://doi.org/10.1145/2188286.2188326</w:t>
      </w:r>
    </w:p>
    <w:p>
      <w:pPr>
        <w:spacing w:after="80"/>
        <w:ind w:left="576" w:hanging="576"/>
      </w:pPr>
      <w:r>
        <w:rPr>
          <w:color w:val="334155"/>
          <w:sz w:val="18"/>
        </w:rPr>
        <w:t>Zheng, A. X., Bhowmik, D., &amp; Liu, P. (2015). Real-time anomaly detection for streaming system metrics. In Proceedings of the 21th ACM SIGKDD International Conference on Knowledge Discovery and Data Mining, 1549–1558. https://doi.org/10.1145/2783258.2788610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6"/>
      </w:rPr>
      <w:t>Snapse Systems Engineering &amp; Research Team  |  Open Science Handoff  |  Release v1.0.0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6"/>
      </w:rPr>
      <w:t>SNAPSE WINDOWS V1.0.0 — COMPREHENSIVE TECHNICAL &amp; RESEARCH HANDOFF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