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Synaptic Plasticity and Rac1 Signaling in Dendritic Spine Development</w:t>
      </w:r>
    </w:p>
    <w:p>
      <w:pPr>
        <w:pStyle w:val="Heading2"/>
      </w:pPr>
      <w:r>
        <w:t>Specific Aims</w:t>
      </w:r>
    </w:p>
    <w:p>
      <w:r>
        <w:rPr>
          <w:sz w:val="24"/>
        </w:rPr>
        <w:t xml:space="preserve">The goal of this research is to elucidate the role of </w:t>
      </w:r>
      <w:r>
        <w:rPr>
          <w:i/>
        </w:rPr>
        <w:t>Rac1</w:t>
      </w:r>
      <w:r>
        <w:t xml:space="preserve"> and PAK kinases in synaptic plasticity (REF). We propose three specific aims:</w:t>
      </w:r>
    </w:p>
    <w:p>
      <w:pPr>
        <w:pStyle w:val="ListBullet"/>
      </w:pPr>
      <w:r>
        <w:t>Investigate Rac1 activation during long-term potentiation (REF)</w:t>
      </w:r>
    </w:p>
    <w:p>
      <w:pPr>
        <w:pStyle w:val="ListBullet"/>
      </w:pPr>
      <w:r>
        <w:t>Characterize PAK kinase phosphorylation patterns in dendritic spines (REF)</w:t>
      </w:r>
    </w:p>
    <w:p>
      <w:pPr>
        <w:pStyle w:val="ListBullet"/>
      </w:pPr>
      <w:r>
        <w:t>Determine the role of spine morphology changes in synaptic transmission (REFS)</w:t>
      </w:r>
    </w:p>
    <w:p>
      <w:pPr>
        <w:pStyle w:val="Heading2"/>
      </w:pPr>
      <w:r>
        <w:t>Significance</w:t>
      </w:r>
    </w:p>
    <w:p>
      <w:r>
        <w:t xml:space="preserve">Previous studies (Smith et al., 2022) and (Johnson et al., 2021) have demonstrated the importance of Rac1 in neuronal development. </w:t>
      </w:r>
      <w:r>
        <w:rPr>
          <w:b/>
        </w:rPr>
        <w:t>Our work</w:t>
      </w:r>
      <w:r>
        <w:t xml:space="preserve"> will extend these findings to understand the molecular mechanisms (REF). PMID: 12345678 describes related work on PAK activation.</w:t>
      </w:r>
    </w:p>
    <w:p>
      <w:pPr>
        <w:pStyle w:val="Heading2"/>
      </w:pPr>
      <w:r>
        <w:t>Innovation</w:t>
      </w:r>
    </w:p>
    <w:p>
      <w:r>
        <w:t xml:space="preserve">We will employ novel two-photon microscopy techniques to visualize </w:t>
      </w:r>
      <w:r>
        <w:rPr>
          <w:u w:val="single"/>
        </w:rPr>
        <w:t>real-time</w:t>
      </w:r>
      <w:r>
        <w:t xml:space="preserve"> Rac1 dynamics in living neurons (REF). This is particularly innovative because it allows visualization of subcellular signaling (REF).</w:t>
      </w:r>
    </w:p>
    <w:p>
      <w:pPr>
        <w:pStyle w:val="Heading2"/>
      </w:pPr>
      <w:r>
        <w:t>Approach</w:t>
      </w:r>
    </w:p>
    <w:p>
      <w:r>
        <w:t>We will use the following experimental methods:</w:t>
      </w:r>
    </w:p>
    <w:p>
      <w:pPr>
        <w:pStyle w:val="ListNumber"/>
      </w:pPr>
      <w:r>
        <w:t>Transfection of neurons with Rac1-GFP constructs and PAK inhibitors</w:t>
      </w:r>
    </w:p>
    <w:p>
      <w:pPr>
        <w:pStyle w:val="ListNumber"/>
      </w:pPr>
      <w:r>
        <w:t>Live-cell imaging using spinning disk confocal microscopy (REF)</w:t>
      </w:r>
    </w:p>
    <w:p>
      <w:pPr>
        <w:pStyle w:val="ListNumber"/>
      </w:pPr>
      <w:r>
        <w:t>Quantitative analysis of spine volume changes and calcium dynamics (REFS)</w:t>
      </w:r>
    </w:p>
    <w:p>
      <w:pPr>
        <w:pStyle w:val="Heading3"/>
      </w:pPr>
      <w:r>
        <w:t>Summary of experimental conditions: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Expected Outcome</w:t>
            </w:r>
          </w:p>
        </w:tc>
      </w:tr>
      <w:tr>
        <w:tc>
          <w:tcPr>
            <w:tcW w:type="dxa" w:w="4320"/>
          </w:tcPr>
          <w:p>
            <w:r>
              <w:t>Rac1 Activation (REF)</w:t>
            </w:r>
          </w:p>
        </w:tc>
        <w:tc>
          <w:tcPr>
            <w:tcW w:type="dxa" w:w="4320"/>
          </w:tcPr>
          <w:p>
            <w:r>
              <w:t>Increased spine size and synaptic strength</w:t>
            </w:r>
          </w:p>
        </w:tc>
      </w:tr>
      <w:tr>
        <w:tc>
          <w:tcPr>
            <w:tcW w:type="dxa" w:w="4320"/>
          </w:tcPr>
          <w:p>
            <w:r>
              <w:t>PAK Inhibition</w:t>
            </w:r>
          </w:p>
        </w:tc>
        <w:tc>
          <w:tcPr>
            <w:tcW w:type="dxa" w:w="4320"/>
          </w:tcPr>
          <w:p>
            <w:r>
              <w:t>Reduced spine stability (REF)</w:t>
            </w:r>
          </w:p>
        </w:tc>
      </w:tr>
      <w:tr>
        <w:tc>
          <w:tcPr>
            <w:tcW w:type="dxa" w:w="4320"/>
          </w:tcPr>
          <w:p>
            <w:r>
              <w:t>Control (Vehicle)</w:t>
            </w:r>
          </w:p>
        </w:tc>
        <w:tc>
          <w:tcPr>
            <w:tcW w:type="dxa" w:w="4320"/>
          </w:tcPr>
          <w:p>
            <w:r>
              <w:t>Baseline synaptic activity</w:t>
            </w:r>
          </w:p>
        </w:tc>
      </w:tr>
    </w:tbl>
    <w:p>
      <w:r>
        <w:rPr>
          <w:b/>
        </w:rPr>
        <w:t xml:space="preserve">Significance: </w:t>
      </w:r>
      <w:r>
        <w:t>This research will provide critical insights into the molecular mechanisms controlling dendritic spine morphology and synaptic plasticity, with implications for learning and memory (REF).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