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Molecular Mechanisms of Synaptic Plasticity</w:t>
      </w:r>
    </w:p>
    <w:p>
      <w:pPr>
        <w:pStyle w:val="Heading2"/>
      </w:pPr>
      <w:r>
        <w:t>Introduction</w:t>
      </w:r>
    </w:p>
    <w:p>
      <w:r>
        <w:t>Synaptic plasticity is the ability of synapses to strengthen or weaken over time, serving as a molecular basis for learning and memory. Long-term potentiation and long-term depression are two key forms of synaptic plasticity that have been extensively studied.</w:t>
      </w:r>
    </w:p>
    <w:p>
      <w:pPr>
        <w:pStyle w:val="Heading2"/>
      </w:pPr>
      <w:r>
        <w:t>Molecular Signaling</w:t>
      </w:r>
    </w:p>
    <w:p>
      <w:r>
        <w:t>The Rho family of GTPases, including Rac1 and RhoA, play crucial roles in regulating the actin cytoskeleton within dendritic spines. These proteins cycle between active GTP-bound and inactive GDP-bound states, controlled by guanine nucleotide exchange factors and GTPase-activating proteins.</w:t>
      </w:r>
    </w:p>
    <w:p>
      <w:r>
        <w:t>PAK kinases are downstream effectors of Rac1 and Cdc42 that phosphorylate numerous substrates involved in cytoskeletal reorganization. The activation of PAK leads to increased motility of dendritic spines and enhanced synaptic transmission.</w:t>
      </w:r>
    </w:p>
    <w:p>
      <w:pPr>
        <w:pStyle w:val="Heading2"/>
      </w:pPr>
      <w:r>
        <w:t>Dendritic Spine Structure</w:t>
      </w:r>
    </w:p>
    <w:p>
      <w:r>
        <w:t>Dendritic spines are small, mushroom-shaped protrusions from the dendritic shaft that receive the majority of excitatory synaptic input in the brain. The morphology of spines is tightly regulated by the underlying actin cytoskeleton, which is dynamically remodeled during synaptic plasticity.</w:t>
      </w:r>
    </w:p>
    <w:p>
      <w:pPr>
        <w:pStyle w:val="Heading3"/>
      </w:pPr>
      <w:r>
        <w:t>Summary of GTPase Properties:</w:t>
      </w:r>
    </w:p>
    <w:tbl>
      <w:tblPr>
        <w:tblStyle w:val="TableGrid"/>
        <w:tblW w:type="auto" w:w="0"/>
        <w:tblLook w:firstColumn="1" w:firstRow="1" w:lastColumn="0" w:lastRow="0" w:noHBand="0" w:noVBand="1" w:val="04A0"/>
      </w:tblPr>
      <w:tblGrid>
        <w:gridCol w:w="2880"/>
        <w:gridCol w:w="2880"/>
        <w:gridCol w:w="2880"/>
      </w:tblGrid>
      <w:tr>
        <w:tc>
          <w:tcPr>
            <w:tcW w:type="dxa" w:w="2880"/>
          </w:tcPr>
          <w:p>
            <w:r>
              <w:t>GTPase</w:t>
            </w:r>
          </w:p>
        </w:tc>
        <w:tc>
          <w:tcPr>
            <w:tcW w:type="dxa" w:w="2880"/>
          </w:tcPr>
          <w:p>
            <w:r>
              <w:t>Primary Function</w:t>
            </w:r>
          </w:p>
        </w:tc>
        <w:tc>
          <w:tcPr>
            <w:tcW w:type="dxa" w:w="2880"/>
          </w:tcPr>
          <w:p>
            <w:r>
              <w:t>Localization</w:t>
            </w:r>
          </w:p>
        </w:tc>
      </w:tr>
      <w:tr>
        <w:tc>
          <w:tcPr>
            <w:tcW w:type="dxa" w:w="2880"/>
          </w:tcPr>
          <w:p>
            <w:r>
              <w:t>Rac1</w:t>
            </w:r>
          </w:p>
        </w:tc>
        <w:tc>
          <w:tcPr>
            <w:tcW w:type="dxa" w:w="2880"/>
          </w:tcPr>
          <w:p>
            <w:r>
              <w:t>Spine expansion and motility</w:t>
            </w:r>
          </w:p>
        </w:tc>
        <w:tc>
          <w:tcPr>
            <w:tcW w:type="dxa" w:w="2880"/>
          </w:tcPr>
          <w:p>
            <w:r>
              <w:t>Dendritic spines</w:t>
            </w:r>
          </w:p>
        </w:tc>
      </w:tr>
      <w:tr>
        <w:tc>
          <w:tcPr>
            <w:tcW w:type="dxa" w:w="2880"/>
          </w:tcPr>
          <w:p>
            <w:r>
              <w:t>RhoA</w:t>
            </w:r>
          </w:p>
        </w:tc>
        <w:tc>
          <w:tcPr>
            <w:tcW w:type="dxa" w:w="2880"/>
          </w:tcPr>
          <w:p>
            <w:r>
              <w:t>Spine contraction</w:t>
            </w:r>
          </w:p>
        </w:tc>
        <w:tc>
          <w:tcPr>
            <w:tcW w:type="dxa" w:w="2880"/>
          </w:tcPr>
          <w:p>
            <w:r>
              <w:t>Dendritic shaft</w:t>
            </w:r>
          </w:p>
        </w:tc>
      </w:tr>
      <w:tr>
        <w:tc>
          <w:tcPr>
            <w:tcW w:type="dxa" w:w="2880"/>
          </w:tcPr>
          <w:p>
            <w:r>
              <w:t>Cdc42</w:t>
            </w:r>
          </w:p>
        </w:tc>
        <w:tc>
          <w:tcPr>
            <w:tcW w:type="dxa" w:w="2880"/>
          </w:tcPr>
          <w:p>
            <w:r>
              <w:t>Spine initiation</w:t>
            </w:r>
          </w:p>
        </w:tc>
        <w:tc>
          <w:tcPr>
            <w:tcW w:type="dxa" w:w="2880"/>
          </w:tcPr>
          <w:p>
            <w:r>
              <w:t>Synaptic area</w:t>
            </w:r>
          </w:p>
        </w:tc>
      </w:tr>
    </w:tbl>
    <w:p>
      <w:pPr>
        <w:pStyle w:val="Heading2"/>
      </w:pPr>
      <w:r>
        <w:t>Experimental Approaches</w:t>
      </w:r>
    </w:p>
    <w:p>
      <w:r>
        <w:t>Several complementary techniques have been employed to study synaptic plasticity:</w:t>
      </w:r>
    </w:p>
    <w:p>
      <w:pPr>
        <w:pStyle w:val="ListBullet"/>
      </w:pPr>
      <w:r>
        <w:t>Whole-cell patch-clamp electrophysiology for measuring synaptic currents</w:t>
      </w:r>
    </w:p>
    <w:p>
      <w:pPr>
        <w:pStyle w:val="ListBullet"/>
      </w:pPr>
      <w:r>
        <w:t>Two-photon laser scanning microscopy for high-resolution imaging of dendritic structures</w:t>
      </w:r>
    </w:p>
    <w:p>
      <w:pPr>
        <w:pStyle w:val="ListBullet"/>
      </w:pPr>
      <w:r>
        <w:t>Fluorescence recovery after photobleaching for studying protein dynamics</w:t>
      </w:r>
    </w:p>
    <w:p>
      <w:pPr>
        <w:pStyle w:val="ListBullet"/>
      </w:pPr>
      <w:r>
        <w:t>Biochemical assays to quantify phosphorylation states of signaling proteins</w:t>
      </w:r>
    </w:p>
    <w:p>
      <w:r>
        <w:t>These techniques have collectively demonstrated that Rac1 activation is necessary and sufficient for spine growth during long-term potentiation, and that PAK phosphorylation of downstream substrates is critical for maintaining spine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