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Suggested-citation marker test document</w:t>
      </w:r>
    </w:p>
    <w:p>
      <w:r>
        <w:t>Proximity labeling has become a standard approach for mapping synaptic protein interaction networks in vivo (PMID: 32879322). Split-TurboID variants extend this strategy to intercellular contacts (PMC11413553, PMC3159129).</w:t>
      </w:r>
    </w:p>
    <w:p>
      <w:r>
        <w:t>Kinase activity within dendritic spines shapes structural plasticity (Battison et al. 2024), and phosphoproteomic profiling of these events is now feasible at scale (doi: 10.1101/2024.01.03.574066).</w:t>
      </w:r>
    </w:p>
    <w:p>
      <w:r>
        <w:t>Our previous work established HiUGE-based genome editing for in vivo proteomics (Soderling et al. 2024; Uezu et al. 2016). Inhibitory synapse remodeling is likewise regulated by kinase signaling (REF), and several groups have reported convergent findings (REFS).</w:t>
      </w:r>
    </w:p>
    <w:p>
      <w:r>
        <w:t>A mixed marker verifies one paper and asks for one more (REF, PMID: 32879322). Ordinary parentheticals are ignored (n = 12), (Fig. 2B), and (December 2024).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