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8ED0" w14:textId="2D3871C8" w:rsidR="00253FAC" w:rsidRDefault="00253FAC" w:rsidP="009E39D0">
      <w:pPr>
        <w:pStyle w:val="Heading1"/>
      </w:pPr>
      <w:r>
        <w:t xml:space="preserve">Overview </w:t>
      </w:r>
    </w:p>
    <w:p w14:paraId="76780645" w14:textId="3C42C165" w:rsidR="00A9403E" w:rsidRDefault="002002E2" w:rsidP="00EB2478">
      <w:pPr>
        <w:ind w:left="432"/>
      </w:pPr>
      <w:r>
        <w:t xml:space="preserve">Although all noise meters with a Type specification </w:t>
      </w:r>
      <w:r w:rsidR="00E83631">
        <w:t>must adhere to set standards and criteria</w:t>
      </w:r>
      <w:r w:rsidR="00EB2478">
        <w:t>,</w:t>
      </w:r>
      <w:r w:rsidR="00E83631">
        <w:t xml:space="preserve"> </w:t>
      </w:r>
      <w:r w:rsidR="00EB2478">
        <w:t>t</w:t>
      </w:r>
      <w:r w:rsidR="002261D0">
        <w:t xml:space="preserve">here </w:t>
      </w:r>
      <w:r>
        <w:t xml:space="preserve">is currently no standard format </w:t>
      </w:r>
      <w:r w:rsidR="00EB2478">
        <w:t xml:space="preserve">in </w:t>
      </w:r>
      <w:proofErr w:type="gramStart"/>
      <w:r w:rsidR="00EB2478">
        <w:t xml:space="preserve">which </w:t>
      </w:r>
      <w:r>
        <w:t xml:space="preserve"> noise</w:t>
      </w:r>
      <w:proofErr w:type="gramEnd"/>
      <w:r>
        <w:t xml:space="preserve"> measurement data</w:t>
      </w:r>
      <w:r w:rsidR="00E83631">
        <w:t xml:space="preserve"> </w:t>
      </w:r>
      <w:r w:rsidR="00EB2478">
        <w:t xml:space="preserve">is downloaded onto an electronic device (generally a PC). </w:t>
      </w:r>
      <w:r w:rsidR="00840921">
        <w:t>It is not a surprise then that each</w:t>
      </w:r>
      <w:r w:rsidR="00FF18A2">
        <w:t xml:space="preserve"> brand of meter</w:t>
      </w:r>
      <w:r w:rsidR="00B1234C">
        <w:t>’s download capability will serialise data to its own format.</w:t>
      </w:r>
      <w:r w:rsidR="005426B2">
        <w:t xml:space="preserve"> </w:t>
      </w:r>
      <w:r w:rsidR="00BA7DE6">
        <w:t>Some m</w:t>
      </w:r>
      <w:r w:rsidR="00C74B82">
        <w:t>anufacturers</w:t>
      </w:r>
      <w:r w:rsidR="00B9003E">
        <w:t xml:space="preserve"> </w:t>
      </w:r>
      <w:r w:rsidR="00BA7DE6">
        <w:t xml:space="preserve">will sell data </w:t>
      </w:r>
      <w:r w:rsidR="00A9403E">
        <w:t>processing software which can be sold to practitioners who ha</w:t>
      </w:r>
      <w:r w:rsidR="004B1119">
        <w:t>v</w:t>
      </w:r>
      <w:r w:rsidR="00A9403E">
        <w:t xml:space="preserve">e already bought a noise meter. </w:t>
      </w:r>
    </w:p>
    <w:p w14:paraId="31D06007" w14:textId="78A53435" w:rsidR="00CB5459" w:rsidRDefault="005426B2" w:rsidP="00EB2478">
      <w:pPr>
        <w:ind w:left="432"/>
      </w:pPr>
      <w:r>
        <w:t xml:space="preserve">It is however the case that </w:t>
      </w:r>
      <w:r w:rsidR="004B1119">
        <w:t xml:space="preserve">manufacturers will support </w:t>
      </w:r>
      <w:r>
        <w:t>either a direct or indirect method</w:t>
      </w:r>
      <w:r w:rsidR="00A86B19">
        <w:t xml:space="preserve"> of transforming data into</w:t>
      </w:r>
      <w:r w:rsidR="00101263">
        <w:t xml:space="preserve"> a </w:t>
      </w:r>
      <w:r w:rsidR="000D374B">
        <w:t>machine-readable</w:t>
      </w:r>
      <w:r w:rsidR="007E678D">
        <w:t xml:space="preserve"> </w:t>
      </w:r>
      <w:r w:rsidR="00101263">
        <w:t>format known as csv (Comma Separated Values).</w:t>
      </w:r>
      <w:r w:rsidR="00763FAC">
        <w:t xml:space="preserve"> Csv is very useful to anyone analysing</w:t>
      </w:r>
      <w:r w:rsidR="007E678D">
        <w:t xml:space="preserve"> noise data as it can be</w:t>
      </w:r>
      <w:r w:rsidR="00424731">
        <w:t xml:space="preserve"> imported into Spreadsheet programs such as </w:t>
      </w:r>
      <w:r w:rsidR="00095F20">
        <w:t xml:space="preserve">the </w:t>
      </w:r>
      <w:r w:rsidR="000D374B">
        <w:t>ever-popular</w:t>
      </w:r>
      <w:r w:rsidR="00095F20">
        <w:t xml:space="preserve"> </w:t>
      </w:r>
      <w:r w:rsidR="00424731">
        <w:t>Excel</w:t>
      </w:r>
      <w:r w:rsidR="00095F20">
        <w:t xml:space="preserve"> from Microsoft</w:t>
      </w:r>
      <w:r w:rsidR="00424731">
        <w:t>.</w:t>
      </w:r>
      <w:r w:rsidR="00990864">
        <w:t xml:space="preserve"> When a csv </w:t>
      </w:r>
      <w:r w:rsidR="000216FB">
        <w:t xml:space="preserve">is </w:t>
      </w:r>
      <w:r w:rsidR="00990864">
        <w:t xml:space="preserve">imported </w:t>
      </w:r>
      <w:r w:rsidR="000216FB">
        <w:t xml:space="preserve">into a spreadsheet </w:t>
      </w:r>
      <w:r w:rsidR="00990864">
        <w:t xml:space="preserve">each “field” from a csv file will </w:t>
      </w:r>
      <w:r w:rsidR="00531845">
        <w:t>reside in a “cell” which can be proces</w:t>
      </w:r>
      <w:r w:rsidR="000216FB">
        <w:t>sed</w:t>
      </w:r>
      <w:r w:rsidR="0078322B">
        <w:t xml:space="preserve"> by a computer</w:t>
      </w:r>
      <w:r w:rsidR="007E7BA8">
        <w:t xml:space="preserve">. </w:t>
      </w:r>
      <w:r w:rsidR="000D374B">
        <w:t>Generally,</w:t>
      </w:r>
      <w:r w:rsidR="007E7BA8">
        <w:t xml:space="preserve"> for noise practitioners </w:t>
      </w:r>
      <w:r w:rsidR="00CB5459">
        <w:t>this</w:t>
      </w:r>
      <w:r w:rsidR="007D74D6">
        <w:t xml:space="preserve"> processing</w:t>
      </w:r>
      <w:r w:rsidR="00CB5459">
        <w:t xml:space="preserve"> will involve some form of aggregation (log averaging, minimal, maximum and </w:t>
      </w:r>
      <w:proofErr w:type="spellStart"/>
      <w:r w:rsidR="00CB5459">
        <w:t>modal</w:t>
      </w:r>
      <w:proofErr w:type="spellEnd"/>
      <w:r w:rsidR="00CB5459">
        <w:t xml:space="preserve"> values over a set period of logging</w:t>
      </w:r>
      <w:r w:rsidR="0078322B">
        <w:t>)</w:t>
      </w:r>
      <w:r w:rsidR="00CB5459">
        <w:t>.</w:t>
      </w:r>
      <w:r w:rsidR="000216FB">
        <w:t xml:space="preserve"> </w:t>
      </w:r>
      <w:r w:rsidR="00990864">
        <w:t xml:space="preserve"> </w:t>
      </w:r>
      <w:r w:rsidR="00AA1F8C">
        <w:t xml:space="preserve"> Spreadsheets are also useful for the presentation of noise data as they </w:t>
      </w:r>
      <w:r w:rsidR="003A7542">
        <w:t>support graphical and pivot table function</w:t>
      </w:r>
      <w:r w:rsidR="000366EC">
        <w:t>ality</w:t>
      </w:r>
      <w:r w:rsidR="003A7542">
        <w:t xml:space="preserve">. </w:t>
      </w:r>
    </w:p>
    <w:p w14:paraId="41A76623" w14:textId="1EE95389" w:rsidR="00F87150" w:rsidRDefault="00751A5E" w:rsidP="00EB2478">
      <w:pPr>
        <w:ind w:left="432"/>
      </w:pPr>
      <w:r>
        <w:t xml:space="preserve">Csv files are </w:t>
      </w:r>
      <w:proofErr w:type="gramStart"/>
      <w:r>
        <w:t xml:space="preserve">useful </w:t>
      </w:r>
      <w:r w:rsidR="00F87150">
        <w:t xml:space="preserve"> for</w:t>
      </w:r>
      <w:proofErr w:type="gramEnd"/>
      <w:r w:rsidR="00F87150">
        <w:t xml:space="preserve"> serializing</w:t>
      </w:r>
      <w:r w:rsidR="00101263">
        <w:t xml:space="preserve"> data </w:t>
      </w:r>
      <w:r w:rsidR="00167EDE">
        <w:t xml:space="preserve">from </w:t>
      </w:r>
      <w:r w:rsidR="002325F4">
        <w:t>a period of continuous measurement</w:t>
      </w:r>
      <w:r w:rsidR="00F87150">
        <w:t xml:space="preserve"> such as is generally required when </w:t>
      </w:r>
      <w:r w:rsidR="0027403B">
        <w:t>a practitioner undertakes environmental noise monitoring</w:t>
      </w:r>
      <w:r w:rsidR="00C44731">
        <w:t xml:space="preserve"> </w:t>
      </w:r>
      <w:r w:rsidR="0027403B">
        <w:t>as such data will typically contain a large number of discrete measurements</w:t>
      </w:r>
      <w:r w:rsidR="00C44731">
        <w:t xml:space="preserve"> logged at set intervals over a period of time</w:t>
      </w:r>
      <w:r w:rsidR="0027403B">
        <w:t xml:space="preserve">. </w:t>
      </w:r>
      <w:r w:rsidR="00C44731">
        <w:t xml:space="preserve"> This type of data is known to data analysts as </w:t>
      </w:r>
      <w:r w:rsidR="00F330E2">
        <w:rPr>
          <w:b/>
          <w:bCs/>
        </w:rPr>
        <w:t>T</w:t>
      </w:r>
      <w:r w:rsidR="00F330E2" w:rsidRPr="000366EC">
        <w:rPr>
          <w:b/>
          <w:bCs/>
        </w:rPr>
        <w:t xml:space="preserve">ime </w:t>
      </w:r>
      <w:r w:rsidR="00F330E2">
        <w:rPr>
          <w:b/>
          <w:bCs/>
        </w:rPr>
        <w:t>S</w:t>
      </w:r>
      <w:r w:rsidR="00F330E2" w:rsidRPr="000366EC">
        <w:rPr>
          <w:b/>
          <w:bCs/>
        </w:rPr>
        <w:t>eries</w:t>
      </w:r>
      <w:r w:rsidR="00F330E2">
        <w:t xml:space="preserve"> </w:t>
      </w:r>
      <w:r w:rsidR="00C44731">
        <w:t xml:space="preserve">data. </w:t>
      </w:r>
    </w:p>
    <w:p w14:paraId="215CD320" w14:textId="6B3AD216" w:rsidR="00101263" w:rsidRDefault="00242A3D" w:rsidP="00EB2478">
      <w:pPr>
        <w:ind w:left="432"/>
      </w:pPr>
      <w:r>
        <w:t>A</w:t>
      </w:r>
      <w:r w:rsidR="008D0BB5">
        <w:t xml:space="preserve"> </w:t>
      </w:r>
      <w:r w:rsidR="008C2C74">
        <w:t xml:space="preserve">csv file of time series </w:t>
      </w:r>
      <w:r w:rsidR="00232B5E">
        <w:t>data will</w:t>
      </w:r>
      <w:r>
        <w:t xml:space="preserve"> </w:t>
      </w:r>
      <w:r w:rsidR="00101263">
        <w:t xml:space="preserve">contain a row representing each </w:t>
      </w:r>
      <w:proofErr w:type="gramStart"/>
      <w:r w:rsidR="00101263">
        <w:t>period of time</w:t>
      </w:r>
      <w:proofErr w:type="gramEnd"/>
      <w:r w:rsidR="00101263">
        <w:t xml:space="preserve"> that a noise measurement has been logged. Each row of data will </w:t>
      </w:r>
      <w:r w:rsidR="00725998">
        <w:t xml:space="preserve">as a minimum </w:t>
      </w:r>
      <w:r w:rsidR="00101263">
        <w:t xml:space="preserve">contain the </w:t>
      </w:r>
      <w:r w:rsidR="00232B5E">
        <w:t>s</w:t>
      </w:r>
      <w:r w:rsidR="00101263">
        <w:t xml:space="preserve">tart or </w:t>
      </w:r>
      <w:r w:rsidR="00232B5E">
        <w:t>e</w:t>
      </w:r>
      <w:r w:rsidR="00101263">
        <w:t xml:space="preserve">nd date and time of measurement and a series of noise metrics. Typically for UK environmental noise the metrics </w:t>
      </w:r>
      <w:r w:rsidR="00725998">
        <w:t xml:space="preserve">most </w:t>
      </w:r>
      <w:r w:rsidR="00101263">
        <w:t>of interest are the “energy” average noise level (</w:t>
      </w:r>
      <w:proofErr w:type="spellStart"/>
      <w:r w:rsidR="00101263">
        <w:t>L</w:t>
      </w:r>
      <w:r w:rsidR="00101263" w:rsidRPr="00AB4053">
        <w:rPr>
          <w:vertAlign w:val="subscript"/>
        </w:rPr>
        <w:t>Aeq</w:t>
      </w:r>
      <w:proofErr w:type="spellEnd"/>
      <w:r w:rsidR="00101263">
        <w:t>), the back</w:t>
      </w:r>
      <w:r w:rsidR="00725998">
        <w:t>ground noise levels (L</w:t>
      </w:r>
      <w:r w:rsidR="00725998" w:rsidRPr="00AB4053">
        <w:rPr>
          <w:vertAlign w:val="subscript"/>
        </w:rPr>
        <w:t>A90</w:t>
      </w:r>
      <w:r w:rsidR="00725998">
        <w:t>) and the maximum impulsive noise level (</w:t>
      </w:r>
      <w:proofErr w:type="spellStart"/>
      <w:proofErr w:type="gramStart"/>
      <w:r w:rsidR="00725998">
        <w:t>L</w:t>
      </w:r>
      <w:r w:rsidR="00AB4053" w:rsidRPr="00AB4053">
        <w:rPr>
          <w:vertAlign w:val="subscript"/>
        </w:rPr>
        <w:t>A</w:t>
      </w:r>
      <w:r w:rsidR="00725998" w:rsidRPr="00AB4053">
        <w:rPr>
          <w:vertAlign w:val="subscript"/>
        </w:rPr>
        <w:t>max</w:t>
      </w:r>
      <w:r w:rsidR="00707BD4">
        <w:rPr>
          <w:vertAlign w:val="subscript"/>
        </w:rPr>
        <w:t>,F</w:t>
      </w:r>
      <w:proofErr w:type="spellEnd"/>
      <w:proofErr w:type="gramEnd"/>
      <w:r w:rsidR="00725998">
        <w:t xml:space="preserve">). Using these metrics </w:t>
      </w:r>
      <w:proofErr w:type="gramStart"/>
      <w:r w:rsidR="00725998">
        <w:t>practitioners</w:t>
      </w:r>
      <w:proofErr w:type="gramEnd"/>
      <w:r w:rsidR="00725998">
        <w:t xml:space="preserve"> aggregate levels over periods of time in order to characterise the noise levels at a </w:t>
      </w:r>
      <w:r w:rsidR="001D48DE">
        <w:t xml:space="preserve">noise monitoring </w:t>
      </w:r>
      <w:r w:rsidR="00725998">
        <w:t xml:space="preserve">location. </w:t>
      </w:r>
      <w:r w:rsidR="00F330E2">
        <w:t xml:space="preserve"> A sample </w:t>
      </w:r>
      <w:r w:rsidR="00F330E2">
        <w:rPr>
          <w:b/>
          <w:bCs/>
        </w:rPr>
        <w:t>T</w:t>
      </w:r>
      <w:r w:rsidR="00F330E2" w:rsidRPr="000366EC">
        <w:rPr>
          <w:b/>
          <w:bCs/>
        </w:rPr>
        <w:t xml:space="preserve">ime </w:t>
      </w:r>
      <w:r w:rsidR="00F330E2">
        <w:rPr>
          <w:b/>
          <w:bCs/>
        </w:rPr>
        <w:t>S</w:t>
      </w:r>
      <w:r w:rsidR="00F330E2" w:rsidRPr="000366EC">
        <w:rPr>
          <w:b/>
          <w:bCs/>
        </w:rPr>
        <w:t>eries</w:t>
      </w:r>
      <w:r w:rsidR="00F330E2">
        <w:t xml:space="preserve"> format for noise data is shown below. </w:t>
      </w:r>
    </w:p>
    <w:p w14:paraId="0704F32F" w14:textId="77777777" w:rsidR="00725998" w:rsidRDefault="00725998" w:rsidP="00101263"/>
    <w:tbl>
      <w:tblPr>
        <w:tblStyle w:val="TableGrid"/>
        <w:tblW w:w="0" w:type="auto"/>
        <w:jc w:val="center"/>
        <w:tblLook w:val="04A0" w:firstRow="1" w:lastRow="0" w:firstColumn="1" w:lastColumn="0" w:noHBand="0" w:noVBand="1"/>
      </w:tblPr>
      <w:tblGrid>
        <w:gridCol w:w="1405"/>
        <w:gridCol w:w="1123"/>
        <w:gridCol w:w="880"/>
        <w:gridCol w:w="1040"/>
        <w:gridCol w:w="860"/>
      </w:tblGrid>
      <w:tr w:rsidR="00725998" w:rsidRPr="00725998" w14:paraId="63F30CB1" w14:textId="77777777" w:rsidTr="009F4B08">
        <w:trPr>
          <w:trHeight w:val="285"/>
          <w:jc w:val="center"/>
        </w:trPr>
        <w:tc>
          <w:tcPr>
            <w:tcW w:w="1180" w:type="dxa"/>
            <w:noWrap/>
            <w:hideMark/>
          </w:tcPr>
          <w:p w14:paraId="6CF3ABEF" w14:textId="77777777" w:rsidR="00725998" w:rsidRPr="00725998" w:rsidRDefault="00725998" w:rsidP="00D132CC">
            <w:pPr>
              <w:keepNext/>
              <w:jc w:val="center"/>
              <w:rPr>
                <w:b/>
                <w:bCs/>
              </w:rPr>
            </w:pPr>
            <w:r w:rsidRPr="00725998">
              <w:rPr>
                <w:b/>
                <w:bCs/>
              </w:rPr>
              <w:lastRenderedPageBreak/>
              <w:t>Date</w:t>
            </w:r>
          </w:p>
        </w:tc>
        <w:tc>
          <w:tcPr>
            <w:tcW w:w="940" w:type="dxa"/>
            <w:noWrap/>
            <w:hideMark/>
          </w:tcPr>
          <w:p w14:paraId="5B17E4B6" w14:textId="77777777" w:rsidR="00725998" w:rsidRPr="00725998" w:rsidRDefault="00725998" w:rsidP="00D132CC">
            <w:pPr>
              <w:keepNext/>
              <w:jc w:val="center"/>
              <w:rPr>
                <w:b/>
                <w:bCs/>
              </w:rPr>
            </w:pPr>
            <w:r w:rsidRPr="00725998">
              <w:rPr>
                <w:b/>
                <w:bCs/>
              </w:rPr>
              <w:t>Time</w:t>
            </w:r>
          </w:p>
        </w:tc>
        <w:tc>
          <w:tcPr>
            <w:tcW w:w="880" w:type="dxa"/>
            <w:noWrap/>
            <w:hideMark/>
          </w:tcPr>
          <w:p w14:paraId="3EAE01BE" w14:textId="77777777" w:rsidR="00725998" w:rsidRPr="00725998" w:rsidRDefault="00725998" w:rsidP="00D132CC">
            <w:pPr>
              <w:keepNext/>
              <w:jc w:val="center"/>
              <w:rPr>
                <w:b/>
                <w:bCs/>
              </w:rPr>
            </w:pPr>
            <w:proofErr w:type="spellStart"/>
            <w:r w:rsidRPr="00725998">
              <w:rPr>
                <w:b/>
                <w:bCs/>
              </w:rPr>
              <w:t>LAeq</w:t>
            </w:r>
            <w:proofErr w:type="spellEnd"/>
          </w:p>
        </w:tc>
        <w:tc>
          <w:tcPr>
            <w:tcW w:w="1040" w:type="dxa"/>
            <w:noWrap/>
            <w:hideMark/>
          </w:tcPr>
          <w:p w14:paraId="3485B7E1" w14:textId="77777777" w:rsidR="00725998" w:rsidRPr="00725998" w:rsidRDefault="00725998" w:rsidP="00D132CC">
            <w:pPr>
              <w:keepNext/>
              <w:jc w:val="center"/>
              <w:rPr>
                <w:b/>
                <w:bCs/>
              </w:rPr>
            </w:pPr>
            <w:r w:rsidRPr="00725998">
              <w:rPr>
                <w:b/>
                <w:bCs/>
              </w:rPr>
              <w:t>LAmax</w:t>
            </w:r>
          </w:p>
        </w:tc>
        <w:tc>
          <w:tcPr>
            <w:tcW w:w="860" w:type="dxa"/>
            <w:noWrap/>
            <w:hideMark/>
          </w:tcPr>
          <w:p w14:paraId="08EC151F" w14:textId="77777777" w:rsidR="00725998" w:rsidRPr="00725998" w:rsidRDefault="00725998" w:rsidP="00D132CC">
            <w:pPr>
              <w:keepNext/>
              <w:jc w:val="center"/>
              <w:rPr>
                <w:b/>
                <w:bCs/>
              </w:rPr>
            </w:pPr>
            <w:r w:rsidRPr="00725998">
              <w:rPr>
                <w:b/>
                <w:bCs/>
              </w:rPr>
              <w:t>LA90</w:t>
            </w:r>
          </w:p>
        </w:tc>
      </w:tr>
      <w:tr w:rsidR="00725998" w:rsidRPr="00725998" w14:paraId="5EC2832F" w14:textId="77777777" w:rsidTr="009F4B08">
        <w:trPr>
          <w:trHeight w:val="285"/>
          <w:jc w:val="center"/>
        </w:trPr>
        <w:tc>
          <w:tcPr>
            <w:tcW w:w="1180" w:type="dxa"/>
            <w:noWrap/>
            <w:hideMark/>
          </w:tcPr>
          <w:p w14:paraId="7E3AD89C" w14:textId="77777777" w:rsidR="00725998" w:rsidRPr="00725998" w:rsidRDefault="00725998" w:rsidP="00D132CC">
            <w:pPr>
              <w:keepNext/>
              <w:jc w:val="center"/>
            </w:pPr>
            <w:r w:rsidRPr="00725998">
              <w:t>29/11/2024</w:t>
            </w:r>
          </w:p>
        </w:tc>
        <w:tc>
          <w:tcPr>
            <w:tcW w:w="940" w:type="dxa"/>
            <w:noWrap/>
            <w:hideMark/>
          </w:tcPr>
          <w:p w14:paraId="3294D19B" w14:textId="77777777" w:rsidR="00725998" w:rsidRPr="00725998" w:rsidRDefault="00725998" w:rsidP="00D132CC">
            <w:pPr>
              <w:keepNext/>
              <w:jc w:val="center"/>
            </w:pPr>
            <w:r w:rsidRPr="00725998">
              <w:t>13:15:00</w:t>
            </w:r>
          </w:p>
        </w:tc>
        <w:tc>
          <w:tcPr>
            <w:tcW w:w="880" w:type="dxa"/>
            <w:noWrap/>
            <w:hideMark/>
          </w:tcPr>
          <w:p w14:paraId="123A07BF" w14:textId="77777777" w:rsidR="00725998" w:rsidRPr="00725998" w:rsidRDefault="00725998" w:rsidP="00D132CC">
            <w:pPr>
              <w:keepNext/>
              <w:jc w:val="center"/>
            </w:pPr>
            <w:r w:rsidRPr="00725998">
              <w:t>54.9</w:t>
            </w:r>
          </w:p>
        </w:tc>
        <w:tc>
          <w:tcPr>
            <w:tcW w:w="1040" w:type="dxa"/>
            <w:noWrap/>
            <w:hideMark/>
          </w:tcPr>
          <w:p w14:paraId="5747D518" w14:textId="77777777" w:rsidR="00725998" w:rsidRPr="00725998" w:rsidRDefault="00725998" w:rsidP="00D132CC">
            <w:pPr>
              <w:keepNext/>
              <w:jc w:val="center"/>
            </w:pPr>
            <w:r w:rsidRPr="00725998">
              <w:t>78.3</w:t>
            </w:r>
          </w:p>
        </w:tc>
        <w:tc>
          <w:tcPr>
            <w:tcW w:w="860" w:type="dxa"/>
            <w:noWrap/>
            <w:hideMark/>
          </w:tcPr>
          <w:p w14:paraId="79C6E816" w14:textId="77777777" w:rsidR="00725998" w:rsidRPr="00725998" w:rsidRDefault="00725998" w:rsidP="00D132CC">
            <w:pPr>
              <w:keepNext/>
              <w:jc w:val="center"/>
            </w:pPr>
            <w:r w:rsidRPr="00725998">
              <w:t>51.3</w:t>
            </w:r>
          </w:p>
        </w:tc>
      </w:tr>
      <w:tr w:rsidR="00725998" w:rsidRPr="00725998" w14:paraId="37CFBE11" w14:textId="77777777" w:rsidTr="009F4B08">
        <w:trPr>
          <w:trHeight w:val="285"/>
          <w:jc w:val="center"/>
        </w:trPr>
        <w:tc>
          <w:tcPr>
            <w:tcW w:w="1180" w:type="dxa"/>
            <w:noWrap/>
            <w:hideMark/>
          </w:tcPr>
          <w:p w14:paraId="672F9131" w14:textId="77777777" w:rsidR="00725998" w:rsidRPr="00725998" w:rsidRDefault="00725998" w:rsidP="00D132CC">
            <w:pPr>
              <w:keepNext/>
              <w:jc w:val="center"/>
            </w:pPr>
            <w:r w:rsidRPr="00725998">
              <w:t>29/11/2024</w:t>
            </w:r>
          </w:p>
        </w:tc>
        <w:tc>
          <w:tcPr>
            <w:tcW w:w="940" w:type="dxa"/>
            <w:noWrap/>
            <w:hideMark/>
          </w:tcPr>
          <w:p w14:paraId="26E1ECF4" w14:textId="77777777" w:rsidR="00725998" w:rsidRPr="00725998" w:rsidRDefault="00725998" w:rsidP="00D132CC">
            <w:pPr>
              <w:keepNext/>
              <w:jc w:val="center"/>
            </w:pPr>
            <w:r w:rsidRPr="00725998">
              <w:t>13:30:00</w:t>
            </w:r>
          </w:p>
        </w:tc>
        <w:tc>
          <w:tcPr>
            <w:tcW w:w="880" w:type="dxa"/>
            <w:noWrap/>
            <w:hideMark/>
          </w:tcPr>
          <w:p w14:paraId="444C128C" w14:textId="77777777" w:rsidR="00725998" w:rsidRPr="00725998" w:rsidRDefault="00725998" w:rsidP="00D132CC">
            <w:pPr>
              <w:keepNext/>
              <w:jc w:val="center"/>
            </w:pPr>
            <w:r w:rsidRPr="00725998">
              <w:t>54.4</w:t>
            </w:r>
          </w:p>
        </w:tc>
        <w:tc>
          <w:tcPr>
            <w:tcW w:w="1040" w:type="dxa"/>
            <w:noWrap/>
            <w:hideMark/>
          </w:tcPr>
          <w:p w14:paraId="357070C2" w14:textId="77777777" w:rsidR="00725998" w:rsidRPr="00725998" w:rsidRDefault="00725998" w:rsidP="00D132CC">
            <w:pPr>
              <w:keepNext/>
              <w:jc w:val="center"/>
            </w:pPr>
            <w:r w:rsidRPr="00725998">
              <w:t>60.7</w:t>
            </w:r>
          </w:p>
        </w:tc>
        <w:tc>
          <w:tcPr>
            <w:tcW w:w="860" w:type="dxa"/>
            <w:noWrap/>
            <w:hideMark/>
          </w:tcPr>
          <w:p w14:paraId="35A28B88" w14:textId="77777777" w:rsidR="00725998" w:rsidRPr="00725998" w:rsidRDefault="00725998" w:rsidP="00D132CC">
            <w:pPr>
              <w:keepNext/>
              <w:jc w:val="center"/>
            </w:pPr>
            <w:r w:rsidRPr="00725998">
              <w:t>51.5</w:t>
            </w:r>
          </w:p>
        </w:tc>
      </w:tr>
      <w:tr w:rsidR="00725998" w:rsidRPr="00725998" w14:paraId="624CB046" w14:textId="77777777" w:rsidTr="009F4B08">
        <w:trPr>
          <w:trHeight w:val="285"/>
          <w:jc w:val="center"/>
        </w:trPr>
        <w:tc>
          <w:tcPr>
            <w:tcW w:w="1180" w:type="dxa"/>
            <w:noWrap/>
            <w:hideMark/>
          </w:tcPr>
          <w:p w14:paraId="37BB6DF7" w14:textId="77777777" w:rsidR="00725998" w:rsidRPr="00725998" w:rsidRDefault="00725998" w:rsidP="00D132CC">
            <w:pPr>
              <w:keepNext/>
              <w:jc w:val="center"/>
            </w:pPr>
            <w:r w:rsidRPr="00725998">
              <w:t>29/11/2024</w:t>
            </w:r>
          </w:p>
        </w:tc>
        <w:tc>
          <w:tcPr>
            <w:tcW w:w="940" w:type="dxa"/>
            <w:noWrap/>
            <w:hideMark/>
          </w:tcPr>
          <w:p w14:paraId="2C7663C4" w14:textId="77777777" w:rsidR="00725998" w:rsidRPr="00725998" w:rsidRDefault="00725998" w:rsidP="00D132CC">
            <w:pPr>
              <w:keepNext/>
              <w:jc w:val="center"/>
            </w:pPr>
            <w:r w:rsidRPr="00725998">
              <w:t>13:45:00</w:t>
            </w:r>
          </w:p>
        </w:tc>
        <w:tc>
          <w:tcPr>
            <w:tcW w:w="880" w:type="dxa"/>
            <w:noWrap/>
            <w:hideMark/>
          </w:tcPr>
          <w:p w14:paraId="54DE112C" w14:textId="77777777" w:rsidR="00725998" w:rsidRPr="00725998" w:rsidRDefault="00725998" w:rsidP="00D132CC">
            <w:pPr>
              <w:keepNext/>
              <w:jc w:val="center"/>
            </w:pPr>
            <w:r w:rsidRPr="00725998">
              <w:t>54.3</w:t>
            </w:r>
          </w:p>
        </w:tc>
        <w:tc>
          <w:tcPr>
            <w:tcW w:w="1040" w:type="dxa"/>
            <w:noWrap/>
            <w:hideMark/>
          </w:tcPr>
          <w:p w14:paraId="66459CF3" w14:textId="77777777" w:rsidR="00725998" w:rsidRPr="00725998" w:rsidRDefault="00725998" w:rsidP="00D132CC">
            <w:pPr>
              <w:keepNext/>
              <w:jc w:val="center"/>
            </w:pPr>
            <w:r w:rsidRPr="00725998">
              <w:t>61.4</w:t>
            </w:r>
          </w:p>
        </w:tc>
        <w:tc>
          <w:tcPr>
            <w:tcW w:w="860" w:type="dxa"/>
            <w:noWrap/>
            <w:hideMark/>
          </w:tcPr>
          <w:p w14:paraId="17A2F98F" w14:textId="77777777" w:rsidR="00725998" w:rsidRPr="00725998" w:rsidRDefault="00725998" w:rsidP="00D132CC">
            <w:pPr>
              <w:keepNext/>
              <w:jc w:val="center"/>
            </w:pPr>
            <w:r w:rsidRPr="00725998">
              <w:t>50.3</w:t>
            </w:r>
          </w:p>
        </w:tc>
      </w:tr>
      <w:tr w:rsidR="00725998" w:rsidRPr="00725998" w14:paraId="611E3E2D" w14:textId="77777777" w:rsidTr="009F4B08">
        <w:trPr>
          <w:trHeight w:val="285"/>
          <w:jc w:val="center"/>
        </w:trPr>
        <w:tc>
          <w:tcPr>
            <w:tcW w:w="1180" w:type="dxa"/>
            <w:noWrap/>
            <w:hideMark/>
          </w:tcPr>
          <w:p w14:paraId="331358A7" w14:textId="77777777" w:rsidR="00725998" w:rsidRPr="00725998" w:rsidRDefault="00725998" w:rsidP="00D132CC">
            <w:pPr>
              <w:keepNext/>
              <w:jc w:val="center"/>
            </w:pPr>
            <w:r w:rsidRPr="00725998">
              <w:t>29/11/2024</w:t>
            </w:r>
          </w:p>
        </w:tc>
        <w:tc>
          <w:tcPr>
            <w:tcW w:w="940" w:type="dxa"/>
            <w:noWrap/>
            <w:hideMark/>
          </w:tcPr>
          <w:p w14:paraId="083CD5BD" w14:textId="77777777" w:rsidR="00725998" w:rsidRPr="00725998" w:rsidRDefault="00725998" w:rsidP="00D132CC">
            <w:pPr>
              <w:keepNext/>
              <w:jc w:val="center"/>
            </w:pPr>
            <w:r w:rsidRPr="00725998">
              <w:t>14:00:00</w:t>
            </w:r>
          </w:p>
        </w:tc>
        <w:tc>
          <w:tcPr>
            <w:tcW w:w="880" w:type="dxa"/>
            <w:noWrap/>
            <w:hideMark/>
          </w:tcPr>
          <w:p w14:paraId="20E069B0" w14:textId="77777777" w:rsidR="00725998" w:rsidRPr="00725998" w:rsidRDefault="00725998" w:rsidP="00D132CC">
            <w:pPr>
              <w:keepNext/>
              <w:jc w:val="center"/>
            </w:pPr>
            <w:r w:rsidRPr="00725998">
              <w:t>55.1</w:t>
            </w:r>
          </w:p>
        </w:tc>
        <w:tc>
          <w:tcPr>
            <w:tcW w:w="1040" w:type="dxa"/>
            <w:noWrap/>
            <w:hideMark/>
          </w:tcPr>
          <w:p w14:paraId="5C4336FD" w14:textId="77777777" w:rsidR="00725998" w:rsidRPr="00725998" w:rsidRDefault="00725998" w:rsidP="00D132CC">
            <w:pPr>
              <w:keepNext/>
              <w:jc w:val="center"/>
            </w:pPr>
            <w:r w:rsidRPr="00725998">
              <w:t>63.7</w:t>
            </w:r>
          </w:p>
        </w:tc>
        <w:tc>
          <w:tcPr>
            <w:tcW w:w="860" w:type="dxa"/>
            <w:noWrap/>
            <w:hideMark/>
          </w:tcPr>
          <w:p w14:paraId="19A16EA4" w14:textId="77777777" w:rsidR="00725998" w:rsidRPr="00725998" w:rsidRDefault="00725998" w:rsidP="00D132CC">
            <w:pPr>
              <w:keepNext/>
              <w:jc w:val="center"/>
            </w:pPr>
            <w:r w:rsidRPr="00725998">
              <w:t>51.6</w:t>
            </w:r>
          </w:p>
        </w:tc>
      </w:tr>
      <w:tr w:rsidR="00725998" w:rsidRPr="00725998" w14:paraId="4FDFA101" w14:textId="77777777" w:rsidTr="009F4B08">
        <w:trPr>
          <w:trHeight w:val="285"/>
          <w:jc w:val="center"/>
        </w:trPr>
        <w:tc>
          <w:tcPr>
            <w:tcW w:w="1180" w:type="dxa"/>
            <w:noWrap/>
            <w:hideMark/>
          </w:tcPr>
          <w:p w14:paraId="604431D1" w14:textId="77777777" w:rsidR="00725998" w:rsidRPr="00725998" w:rsidRDefault="00725998" w:rsidP="00D132CC">
            <w:pPr>
              <w:keepNext/>
              <w:jc w:val="center"/>
            </w:pPr>
            <w:r w:rsidRPr="00725998">
              <w:t>29/11/2024</w:t>
            </w:r>
          </w:p>
        </w:tc>
        <w:tc>
          <w:tcPr>
            <w:tcW w:w="940" w:type="dxa"/>
            <w:noWrap/>
            <w:hideMark/>
          </w:tcPr>
          <w:p w14:paraId="3338073A" w14:textId="77777777" w:rsidR="00725998" w:rsidRPr="00725998" w:rsidRDefault="00725998" w:rsidP="00D132CC">
            <w:pPr>
              <w:keepNext/>
              <w:jc w:val="center"/>
            </w:pPr>
            <w:r w:rsidRPr="00725998">
              <w:t>14:15:00</w:t>
            </w:r>
          </w:p>
        </w:tc>
        <w:tc>
          <w:tcPr>
            <w:tcW w:w="880" w:type="dxa"/>
            <w:noWrap/>
            <w:hideMark/>
          </w:tcPr>
          <w:p w14:paraId="077A0FEB" w14:textId="77777777" w:rsidR="00725998" w:rsidRPr="00725998" w:rsidRDefault="00725998" w:rsidP="00D132CC">
            <w:pPr>
              <w:keepNext/>
              <w:jc w:val="center"/>
            </w:pPr>
            <w:r w:rsidRPr="00725998">
              <w:t>54.5</w:t>
            </w:r>
          </w:p>
        </w:tc>
        <w:tc>
          <w:tcPr>
            <w:tcW w:w="1040" w:type="dxa"/>
            <w:noWrap/>
            <w:hideMark/>
          </w:tcPr>
          <w:p w14:paraId="70C167A9" w14:textId="77777777" w:rsidR="00725998" w:rsidRPr="00725998" w:rsidRDefault="00725998" w:rsidP="00D132CC">
            <w:pPr>
              <w:keepNext/>
              <w:jc w:val="center"/>
            </w:pPr>
            <w:r w:rsidRPr="00725998">
              <w:t>74.3</w:t>
            </w:r>
          </w:p>
        </w:tc>
        <w:tc>
          <w:tcPr>
            <w:tcW w:w="860" w:type="dxa"/>
            <w:noWrap/>
            <w:hideMark/>
          </w:tcPr>
          <w:p w14:paraId="46B2AE90" w14:textId="77777777" w:rsidR="00725998" w:rsidRPr="00725998" w:rsidRDefault="00725998" w:rsidP="00D132CC">
            <w:pPr>
              <w:keepNext/>
              <w:jc w:val="center"/>
            </w:pPr>
            <w:r w:rsidRPr="00725998">
              <w:t>51.2</w:t>
            </w:r>
          </w:p>
        </w:tc>
      </w:tr>
      <w:tr w:rsidR="00725998" w:rsidRPr="00725998" w14:paraId="58E53991" w14:textId="77777777" w:rsidTr="009F4B08">
        <w:trPr>
          <w:trHeight w:val="285"/>
          <w:jc w:val="center"/>
        </w:trPr>
        <w:tc>
          <w:tcPr>
            <w:tcW w:w="1180" w:type="dxa"/>
            <w:noWrap/>
            <w:hideMark/>
          </w:tcPr>
          <w:p w14:paraId="51308345" w14:textId="77777777" w:rsidR="00725998" w:rsidRPr="00725998" w:rsidRDefault="00725998" w:rsidP="00D132CC">
            <w:pPr>
              <w:keepNext/>
              <w:jc w:val="center"/>
            </w:pPr>
            <w:r w:rsidRPr="00725998">
              <w:t>29/11/2024</w:t>
            </w:r>
          </w:p>
        </w:tc>
        <w:tc>
          <w:tcPr>
            <w:tcW w:w="940" w:type="dxa"/>
            <w:noWrap/>
            <w:hideMark/>
          </w:tcPr>
          <w:p w14:paraId="4D28DB16" w14:textId="77777777" w:rsidR="00725998" w:rsidRPr="00725998" w:rsidRDefault="00725998" w:rsidP="00D132CC">
            <w:pPr>
              <w:keepNext/>
              <w:jc w:val="center"/>
            </w:pPr>
            <w:r w:rsidRPr="00725998">
              <w:t>14:30:00</w:t>
            </w:r>
          </w:p>
        </w:tc>
        <w:tc>
          <w:tcPr>
            <w:tcW w:w="880" w:type="dxa"/>
            <w:noWrap/>
            <w:hideMark/>
          </w:tcPr>
          <w:p w14:paraId="3369BFD9" w14:textId="77777777" w:rsidR="00725998" w:rsidRPr="00725998" w:rsidRDefault="00725998" w:rsidP="00D132CC">
            <w:pPr>
              <w:keepNext/>
              <w:jc w:val="center"/>
            </w:pPr>
            <w:r w:rsidRPr="00725998">
              <w:t>54.3</w:t>
            </w:r>
          </w:p>
        </w:tc>
        <w:tc>
          <w:tcPr>
            <w:tcW w:w="1040" w:type="dxa"/>
            <w:noWrap/>
            <w:hideMark/>
          </w:tcPr>
          <w:p w14:paraId="7AF1AE09" w14:textId="77777777" w:rsidR="00725998" w:rsidRPr="00725998" w:rsidRDefault="00725998" w:rsidP="00D132CC">
            <w:pPr>
              <w:keepNext/>
              <w:jc w:val="center"/>
            </w:pPr>
            <w:r w:rsidRPr="00725998">
              <w:t>60.7</w:t>
            </w:r>
          </w:p>
        </w:tc>
        <w:tc>
          <w:tcPr>
            <w:tcW w:w="860" w:type="dxa"/>
            <w:noWrap/>
            <w:hideMark/>
          </w:tcPr>
          <w:p w14:paraId="24AE970B" w14:textId="77777777" w:rsidR="00725998" w:rsidRPr="00725998" w:rsidRDefault="00725998" w:rsidP="00D132CC">
            <w:pPr>
              <w:keepNext/>
              <w:jc w:val="center"/>
            </w:pPr>
            <w:r w:rsidRPr="00725998">
              <w:t>51.2</w:t>
            </w:r>
          </w:p>
        </w:tc>
      </w:tr>
      <w:tr w:rsidR="00725998" w:rsidRPr="00725998" w14:paraId="7883D2C4" w14:textId="77777777" w:rsidTr="009F4B08">
        <w:trPr>
          <w:trHeight w:val="285"/>
          <w:jc w:val="center"/>
        </w:trPr>
        <w:tc>
          <w:tcPr>
            <w:tcW w:w="1180" w:type="dxa"/>
            <w:noWrap/>
            <w:hideMark/>
          </w:tcPr>
          <w:p w14:paraId="6CDE4ED5" w14:textId="77777777" w:rsidR="00725998" w:rsidRPr="00725998" w:rsidRDefault="00725998" w:rsidP="00D132CC">
            <w:pPr>
              <w:keepNext/>
              <w:jc w:val="center"/>
            </w:pPr>
            <w:r w:rsidRPr="00725998">
              <w:t>29/11/2024</w:t>
            </w:r>
          </w:p>
        </w:tc>
        <w:tc>
          <w:tcPr>
            <w:tcW w:w="940" w:type="dxa"/>
            <w:noWrap/>
            <w:hideMark/>
          </w:tcPr>
          <w:p w14:paraId="27833572" w14:textId="77777777" w:rsidR="00725998" w:rsidRPr="00725998" w:rsidRDefault="00725998" w:rsidP="00D132CC">
            <w:pPr>
              <w:keepNext/>
              <w:jc w:val="center"/>
            </w:pPr>
            <w:r w:rsidRPr="00725998">
              <w:t>14:45:00</w:t>
            </w:r>
          </w:p>
        </w:tc>
        <w:tc>
          <w:tcPr>
            <w:tcW w:w="880" w:type="dxa"/>
            <w:noWrap/>
            <w:hideMark/>
          </w:tcPr>
          <w:p w14:paraId="6FA617D3" w14:textId="77777777" w:rsidR="00725998" w:rsidRPr="00725998" w:rsidRDefault="00725998" w:rsidP="00D132CC">
            <w:pPr>
              <w:keepNext/>
              <w:jc w:val="center"/>
            </w:pPr>
            <w:r w:rsidRPr="00725998">
              <w:t>58</w:t>
            </w:r>
          </w:p>
        </w:tc>
        <w:tc>
          <w:tcPr>
            <w:tcW w:w="1040" w:type="dxa"/>
            <w:noWrap/>
            <w:hideMark/>
          </w:tcPr>
          <w:p w14:paraId="51ECE972" w14:textId="77777777" w:rsidR="00725998" w:rsidRPr="00725998" w:rsidRDefault="00725998" w:rsidP="00D132CC">
            <w:pPr>
              <w:keepNext/>
              <w:jc w:val="center"/>
            </w:pPr>
            <w:r w:rsidRPr="00725998">
              <w:t>77.2</w:t>
            </w:r>
          </w:p>
        </w:tc>
        <w:tc>
          <w:tcPr>
            <w:tcW w:w="860" w:type="dxa"/>
            <w:noWrap/>
            <w:hideMark/>
          </w:tcPr>
          <w:p w14:paraId="08C4948E" w14:textId="77777777" w:rsidR="00725998" w:rsidRPr="00725998" w:rsidRDefault="00725998" w:rsidP="00D132CC">
            <w:pPr>
              <w:keepNext/>
              <w:jc w:val="center"/>
            </w:pPr>
            <w:r w:rsidRPr="00725998">
              <w:t>52.1</w:t>
            </w:r>
          </w:p>
        </w:tc>
      </w:tr>
    </w:tbl>
    <w:p w14:paraId="21D12A0C" w14:textId="7476A47B" w:rsidR="00725998" w:rsidRDefault="00725998" w:rsidP="00101263"/>
    <w:p w14:paraId="7A4B88AC" w14:textId="4E2B2C08" w:rsidR="00725998" w:rsidRDefault="00725998" w:rsidP="0094593F">
      <w:pPr>
        <w:ind w:left="360"/>
      </w:pPr>
      <w:r>
        <w:t xml:space="preserve">Whilst it is reasonable to assume the above it is unfortunately the case that, that is all that can one assume. Every meter from each manufacturer and sometimes even different versions of download software for the same </w:t>
      </w:r>
      <w:r w:rsidR="003469DE">
        <w:t xml:space="preserve">meter </w:t>
      </w:r>
      <w:r>
        <w:t xml:space="preserve">may differ in the csv format that may come to the user. </w:t>
      </w:r>
    </w:p>
    <w:p w14:paraId="2C1EA89D" w14:textId="4FFABD9A" w:rsidR="00725998" w:rsidRDefault="00725998" w:rsidP="0094593F">
      <w:pPr>
        <w:pStyle w:val="ListParagraph"/>
        <w:numPr>
          <w:ilvl w:val="0"/>
          <w:numId w:val="1"/>
        </w:numPr>
        <w:ind w:left="1080"/>
      </w:pPr>
      <w:r>
        <w:t xml:space="preserve">Dates and times may be in different columns or “merged” into “one”. </w:t>
      </w:r>
    </w:p>
    <w:p w14:paraId="435A7637" w14:textId="43F74FE5" w:rsidR="005124CA" w:rsidRDefault="005124CA" w:rsidP="0094593F">
      <w:pPr>
        <w:pStyle w:val="ListParagraph"/>
        <w:numPr>
          <w:ilvl w:val="0"/>
          <w:numId w:val="1"/>
        </w:numPr>
        <w:ind w:left="1080"/>
      </w:pPr>
      <w:r>
        <w:t xml:space="preserve">The time may the start or end time of the logging period. </w:t>
      </w:r>
    </w:p>
    <w:p w14:paraId="60FB5497" w14:textId="1860D8BC" w:rsidR="005124CA" w:rsidRDefault="005124CA" w:rsidP="0094593F">
      <w:pPr>
        <w:pStyle w:val="ListParagraph"/>
        <w:numPr>
          <w:ilvl w:val="0"/>
          <w:numId w:val="1"/>
        </w:numPr>
        <w:ind w:left="1080"/>
      </w:pPr>
      <w:r>
        <w:t xml:space="preserve">There may be more than one header row. </w:t>
      </w:r>
    </w:p>
    <w:p w14:paraId="7AAAB563" w14:textId="71E53E71" w:rsidR="005124CA" w:rsidRDefault="005124CA" w:rsidP="0094593F">
      <w:pPr>
        <w:pStyle w:val="ListParagraph"/>
        <w:numPr>
          <w:ilvl w:val="0"/>
          <w:numId w:val="1"/>
        </w:numPr>
        <w:ind w:left="1080"/>
      </w:pPr>
      <w:r>
        <w:t xml:space="preserve">The names of the columns differ e.g. </w:t>
      </w:r>
      <w:proofErr w:type="spellStart"/>
      <w:proofErr w:type="gramStart"/>
      <w:r>
        <w:t>LAeq</w:t>
      </w:r>
      <w:proofErr w:type="spellEnd"/>
      <w:r>
        <w:t xml:space="preserve">  Overall</w:t>
      </w:r>
      <w:proofErr w:type="gramEnd"/>
      <w:r>
        <w:t xml:space="preserve">, </w:t>
      </w:r>
      <w:proofErr w:type="spellStart"/>
      <w:r>
        <w:t>Leq</w:t>
      </w:r>
      <w:proofErr w:type="spellEnd"/>
      <w:r>
        <w:t xml:space="preserve"> A and the orders in which they appear from left to right. </w:t>
      </w:r>
    </w:p>
    <w:p w14:paraId="47EC0392" w14:textId="3E2C4284" w:rsidR="005124CA" w:rsidRDefault="005124CA" w:rsidP="0094593F">
      <w:pPr>
        <w:pStyle w:val="ListParagraph"/>
        <w:numPr>
          <w:ilvl w:val="0"/>
          <w:numId w:val="1"/>
        </w:numPr>
        <w:ind w:left="1080"/>
      </w:pPr>
      <w:r>
        <w:t>There may be non-data rows placed among</w:t>
      </w:r>
      <w:r w:rsidR="00CA74F5">
        <w:t>st</w:t>
      </w:r>
      <w:r>
        <w:t xml:space="preserve"> valid data, particularly if it is presented in </w:t>
      </w:r>
      <w:r w:rsidR="00CA74F5">
        <w:t xml:space="preserve">and old style “print” format. </w:t>
      </w:r>
    </w:p>
    <w:p w14:paraId="09658C6C" w14:textId="4D3F0B2E" w:rsidR="00CA74F5" w:rsidRDefault="00CA74F5" w:rsidP="0094593F">
      <w:pPr>
        <w:pStyle w:val="ListParagraph"/>
        <w:numPr>
          <w:ilvl w:val="0"/>
          <w:numId w:val="1"/>
        </w:numPr>
        <w:ind w:left="1080"/>
      </w:pPr>
      <w:r>
        <w:t xml:space="preserve">There may be summary rows at the foot of the csv tables. </w:t>
      </w:r>
    </w:p>
    <w:p w14:paraId="0AE5A9F0" w14:textId="5863179D" w:rsidR="00CA74F5" w:rsidRDefault="00CA74F5" w:rsidP="0094593F">
      <w:pPr>
        <w:ind w:left="720"/>
      </w:pPr>
      <w:r>
        <w:t>So</w:t>
      </w:r>
      <w:r w:rsidR="00F52C4E">
        <w:t>,</w:t>
      </w:r>
      <w:r>
        <w:t xml:space="preserve"> a practitioner who may use several different </w:t>
      </w:r>
      <w:r w:rsidR="00A61646">
        <w:t xml:space="preserve">noise </w:t>
      </w:r>
      <w:r>
        <w:t>meters in the course of the</w:t>
      </w:r>
      <w:r w:rsidR="00D132CC">
        <w:t>ir</w:t>
      </w:r>
      <w:r>
        <w:t xml:space="preserve"> work is forced to undertake a custom step in which the output from the meters is “normalised”</w:t>
      </w:r>
      <w:r w:rsidR="00D34289">
        <w:t xml:space="preserve"> into a common format</w:t>
      </w:r>
      <w:r>
        <w:t xml:space="preserve">. With this step accomplished the data can be processed as required for the job in hand. </w:t>
      </w:r>
    </w:p>
    <w:p w14:paraId="450F882E" w14:textId="2293BCAE" w:rsidR="00CA74F5" w:rsidRDefault="00CA74F5" w:rsidP="0094593F">
      <w:pPr>
        <w:ind w:left="720"/>
      </w:pPr>
      <w:r>
        <w:t xml:space="preserve"> It would therefore be useful for </w:t>
      </w:r>
      <w:r w:rsidR="00812249">
        <w:t>practitioners</w:t>
      </w:r>
      <w:r>
        <w:t xml:space="preserve"> to have a software tool that they could use to “normalise” the csv format from any meter into a common </w:t>
      </w:r>
      <w:proofErr w:type="gramStart"/>
      <w:r>
        <w:t>format, and</w:t>
      </w:r>
      <w:proofErr w:type="gramEnd"/>
      <w:r>
        <w:t xml:space="preserve"> thereby save the trouble of </w:t>
      </w:r>
      <w:r w:rsidR="00812249">
        <w:t>doing so manually</w:t>
      </w:r>
      <w:r>
        <w:t>. If possible</w:t>
      </w:r>
      <w:r w:rsidR="00812249">
        <w:t>,</w:t>
      </w:r>
      <w:r>
        <w:t xml:space="preserve"> it would be useful if it could perform the aggregations required by environmental noise </w:t>
      </w:r>
      <w:r w:rsidR="007E58F8">
        <w:t>practitioners</w:t>
      </w:r>
      <w:r w:rsidR="00127BFE">
        <w:t xml:space="preserve"> who could customise the aggregation steps to their own use. </w:t>
      </w:r>
    </w:p>
    <w:p w14:paraId="224BA135" w14:textId="0AD1598E" w:rsidR="00491711" w:rsidRDefault="00491711" w:rsidP="009F0935">
      <w:pPr>
        <w:ind w:left="720"/>
      </w:pPr>
      <w:r>
        <w:t xml:space="preserve">It would be perfectly possible to write </w:t>
      </w:r>
      <w:r w:rsidR="00A50345">
        <w:t xml:space="preserve">a program to carry out the above.  </w:t>
      </w:r>
      <w:proofErr w:type="gramStart"/>
      <w:r w:rsidR="00A50345">
        <w:t>Indeed</w:t>
      </w:r>
      <w:proofErr w:type="gramEnd"/>
      <w:r w:rsidR="00A50345">
        <w:t xml:space="preserve"> the author of this article has d</w:t>
      </w:r>
      <w:r w:rsidR="00D34289">
        <w:t>one so for his own consultancy</w:t>
      </w:r>
      <w:r w:rsidR="00A50345">
        <w:t xml:space="preserve">. </w:t>
      </w:r>
      <w:r w:rsidR="00496F15">
        <w:t xml:space="preserve"> </w:t>
      </w:r>
      <w:r w:rsidR="004E143F">
        <w:t>However</w:t>
      </w:r>
      <w:r w:rsidR="00496F15">
        <w:t xml:space="preserve"> assuming a Microsoft</w:t>
      </w:r>
      <w:r w:rsidR="009F0935">
        <w:t xml:space="preserve">-only solution is </w:t>
      </w:r>
      <w:proofErr w:type="gramStart"/>
      <w:r w:rsidR="009F0935">
        <w:t xml:space="preserve">acceptable </w:t>
      </w:r>
      <w:r w:rsidR="00DC64CA">
        <w:t>,</w:t>
      </w:r>
      <w:proofErr w:type="gramEnd"/>
      <w:r w:rsidR="00DC64CA">
        <w:t xml:space="preserve"> E</w:t>
      </w:r>
      <w:r w:rsidR="000E790C">
        <w:t xml:space="preserve">xcel </w:t>
      </w:r>
      <w:r w:rsidR="00DC64CA">
        <w:t xml:space="preserve">and </w:t>
      </w:r>
      <w:proofErr w:type="spellStart"/>
      <w:r w:rsidR="00DC64CA">
        <w:t>PowerBI</w:t>
      </w:r>
      <w:proofErr w:type="spellEnd"/>
      <w:r w:rsidR="00DC64CA">
        <w:t xml:space="preserve"> </w:t>
      </w:r>
      <w:r w:rsidR="000E790C">
        <w:t xml:space="preserve">offer a feature called </w:t>
      </w:r>
      <w:r w:rsidR="000E790C" w:rsidRPr="0057797C">
        <w:rPr>
          <w:b/>
          <w:bCs/>
        </w:rPr>
        <w:t>Power Query</w:t>
      </w:r>
      <w:r w:rsidR="000E790C">
        <w:t xml:space="preserve"> which </w:t>
      </w:r>
      <w:r w:rsidR="00BA0626">
        <w:t xml:space="preserve">is generally fit for purpose for </w:t>
      </w:r>
      <w:r w:rsidR="00DC64CA">
        <w:t>carrying out the tasks noise practitioners require.</w:t>
      </w:r>
      <w:r w:rsidR="00B7501C">
        <w:t xml:space="preserve">  </w:t>
      </w:r>
    </w:p>
    <w:p w14:paraId="7917E548" w14:textId="5DE0A1B3" w:rsidR="004244D0" w:rsidRDefault="00A636BA" w:rsidP="0094593F">
      <w:pPr>
        <w:ind w:left="720"/>
      </w:pPr>
      <w:r>
        <w:lastRenderedPageBreak/>
        <w:t xml:space="preserve">Power Query enables users to extract, transform, and load (ETL) data from various </w:t>
      </w:r>
      <w:r w:rsidR="00DC64CA">
        <w:t xml:space="preserve">data </w:t>
      </w:r>
      <w:r>
        <w:t>sources</w:t>
      </w:r>
      <w:r w:rsidR="00DC64CA">
        <w:t xml:space="preserve">, </w:t>
      </w:r>
      <w:r w:rsidR="00734B1F">
        <w:t xml:space="preserve">including the one relevant for us i.e. </w:t>
      </w:r>
      <w:r>
        <w:t xml:space="preserve">csv. </w:t>
      </w:r>
      <w:r w:rsidR="004244D0">
        <w:t xml:space="preserve"> The following three features are pertinent to its use </w:t>
      </w:r>
      <w:r w:rsidR="0020792B">
        <w:t xml:space="preserve">in </w:t>
      </w:r>
      <w:r w:rsidR="003A24D2">
        <w:t>PQ</w:t>
      </w:r>
      <w:r w:rsidR="00D01CC2">
        <w:t>for</w:t>
      </w:r>
      <w:r w:rsidR="0020792B">
        <w:t>Noise.</w:t>
      </w:r>
    </w:p>
    <w:p w14:paraId="7805AC7A" w14:textId="7BAEB8F7" w:rsidR="00A636BA" w:rsidRDefault="00A636BA" w:rsidP="0094593F">
      <w:pPr>
        <w:pStyle w:val="ListParagraph"/>
        <w:numPr>
          <w:ilvl w:val="0"/>
          <w:numId w:val="2"/>
        </w:numPr>
        <w:ind w:left="1440"/>
      </w:pPr>
      <w:r>
        <w:t>Data Transformation</w:t>
      </w:r>
      <w:r w:rsidR="004244D0">
        <w:t xml:space="preserve"> - </w:t>
      </w:r>
      <w:r>
        <w:t>Clean, filter, and reshape the data using a variety of transformation tools like pivot, unpivot</w:t>
      </w:r>
      <w:r w:rsidR="00C8634F">
        <w:t xml:space="preserve"> and </w:t>
      </w:r>
      <w:proofErr w:type="gramStart"/>
      <w:r>
        <w:t>merge</w:t>
      </w:r>
      <w:r w:rsidR="002669CD">
        <w:t>;</w:t>
      </w:r>
      <w:proofErr w:type="gramEnd"/>
    </w:p>
    <w:p w14:paraId="0CB6C25A" w14:textId="41F958A0" w:rsidR="00A636BA" w:rsidRDefault="00A636BA" w:rsidP="0094593F">
      <w:pPr>
        <w:pStyle w:val="ListParagraph"/>
        <w:numPr>
          <w:ilvl w:val="0"/>
          <w:numId w:val="2"/>
        </w:numPr>
        <w:ind w:left="1440"/>
      </w:pPr>
      <w:r>
        <w:t>Data Loading</w:t>
      </w:r>
      <w:r w:rsidR="004244D0">
        <w:t xml:space="preserve"> - </w:t>
      </w:r>
      <w:r>
        <w:t xml:space="preserve">Load the transformed data into Excel or Power BI for analysis, visualization, and </w:t>
      </w:r>
      <w:proofErr w:type="gramStart"/>
      <w:r>
        <w:t>reporting</w:t>
      </w:r>
      <w:r w:rsidR="002669CD">
        <w:t>;</w:t>
      </w:r>
      <w:proofErr w:type="gramEnd"/>
    </w:p>
    <w:p w14:paraId="5A4ABE40" w14:textId="11AA04C3" w:rsidR="00A636BA" w:rsidRDefault="004244D0" w:rsidP="0094593F">
      <w:pPr>
        <w:pStyle w:val="ListParagraph"/>
        <w:numPr>
          <w:ilvl w:val="0"/>
          <w:numId w:val="2"/>
        </w:numPr>
        <w:ind w:left="1440"/>
      </w:pPr>
      <w:r>
        <w:t xml:space="preserve">Automation - </w:t>
      </w:r>
      <w:r w:rsidR="00A636BA">
        <w:t>Save the steps of your data transformation process as a query, which can be refreshed to update your data with the latest information.</w:t>
      </w:r>
    </w:p>
    <w:p w14:paraId="566CA31A" w14:textId="087BCEBC" w:rsidR="004244D0" w:rsidRDefault="004244D0" w:rsidP="0094593F">
      <w:pPr>
        <w:ind w:left="720"/>
      </w:pPr>
      <w:r>
        <w:t xml:space="preserve">While it is for the most part a “no-code” tool </w:t>
      </w:r>
      <w:r w:rsidR="002669CD">
        <w:t xml:space="preserve">it does accept </w:t>
      </w:r>
      <w:r w:rsidR="003466AD">
        <w:t xml:space="preserve">custom </w:t>
      </w:r>
      <w:proofErr w:type="gramStart"/>
      <w:r w:rsidR="003466AD">
        <w:t>functions</w:t>
      </w:r>
      <w:proofErr w:type="gramEnd"/>
      <w:r w:rsidR="003466AD">
        <w:t xml:space="preserve"> </w:t>
      </w:r>
      <w:r w:rsidR="00C2162D">
        <w:t xml:space="preserve">and these were </w:t>
      </w:r>
      <w:r w:rsidR="003466AD">
        <w:t>necessary</w:t>
      </w:r>
      <w:r w:rsidR="00CC6E96">
        <w:t xml:space="preserve"> to successfully aggregate data</w:t>
      </w:r>
      <w:r w:rsidR="00D00EDD">
        <w:t xml:space="preserve"> in this case</w:t>
      </w:r>
      <w:r w:rsidR="003466AD">
        <w:t>.</w:t>
      </w:r>
      <w:r w:rsidR="00B45247">
        <w:t xml:space="preserve">  There is a learning curve with </w:t>
      </w:r>
      <w:proofErr w:type="spellStart"/>
      <w:r w:rsidR="00B45247">
        <w:t>PowerQuery</w:t>
      </w:r>
      <w:proofErr w:type="spellEnd"/>
      <w:r w:rsidR="00B45247">
        <w:t xml:space="preserve"> </w:t>
      </w:r>
      <w:r w:rsidR="00DB4C65">
        <w:t xml:space="preserve">and a greater one with Power </w:t>
      </w:r>
      <w:proofErr w:type="gramStart"/>
      <w:r w:rsidR="00DB4C65">
        <w:t>BI</w:t>
      </w:r>
      <w:proofErr w:type="gramEnd"/>
      <w:r w:rsidR="00DB4C65">
        <w:t xml:space="preserve"> </w:t>
      </w:r>
      <w:r w:rsidR="00B45247">
        <w:t xml:space="preserve">but it is much less than would be required </w:t>
      </w:r>
      <w:r w:rsidR="00F42B6D">
        <w:t xml:space="preserve">for </w:t>
      </w:r>
      <w:r w:rsidR="008A608A">
        <w:t>software development. So</w:t>
      </w:r>
      <w:r w:rsidR="00107A64">
        <w:t>,</w:t>
      </w:r>
      <w:r w:rsidR="008A608A">
        <w:t xml:space="preserve"> it is expected that </w:t>
      </w:r>
      <w:r w:rsidR="000D1A12">
        <w:t>practitioners</w:t>
      </w:r>
      <w:r w:rsidR="008A608A">
        <w:t xml:space="preserve"> will heavily customise it </w:t>
      </w:r>
      <w:r w:rsidR="000D1A12">
        <w:t xml:space="preserve">for their own purposes. </w:t>
      </w:r>
      <w:r w:rsidR="00B45247">
        <w:t xml:space="preserve"> </w:t>
      </w:r>
    </w:p>
    <w:p w14:paraId="468AB688" w14:textId="4482FDEA" w:rsidR="00886E99" w:rsidRDefault="007018C4" w:rsidP="009E39D0">
      <w:pPr>
        <w:pStyle w:val="Heading1"/>
      </w:pPr>
      <w:r>
        <w:t xml:space="preserve">Preparation </w:t>
      </w:r>
    </w:p>
    <w:p w14:paraId="2C4686AE" w14:textId="7CB86CEC" w:rsidR="00E314CE" w:rsidRDefault="00E314CE" w:rsidP="00E314CE">
      <w:pPr>
        <w:pStyle w:val="Heading2"/>
      </w:pPr>
      <w:r>
        <w:t xml:space="preserve">System Requirements </w:t>
      </w:r>
    </w:p>
    <w:p w14:paraId="770E484E" w14:textId="72725AD4" w:rsidR="00E314CE" w:rsidRDefault="00E314CE" w:rsidP="00E314CE">
      <w:pPr>
        <w:ind w:left="576"/>
      </w:pPr>
      <w:r>
        <w:t xml:space="preserve">You will </w:t>
      </w:r>
      <w:proofErr w:type="gramStart"/>
      <w:r>
        <w:t>needs</w:t>
      </w:r>
      <w:proofErr w:type="gramEnd"/>
      <w:r>
        <w:t xml:space="preserve"> a PC </w:t>
      </w:r>
      <w:r w:rsidR="008C486B">
        <w:t>running Windows 10 or later</w:t>
      </w:r>
      <w:r w:rsidR="00206FFA">
        <w:t xml:space="preserve">. </w:t>
      </w:r>
      <w:r w:rsidR="008C486B">
        <w:t xml:space="preserve">Excel </w:t>
      </w:r>
      <w:proofErr w:type="gramStart"/>
      <w:r w:rsidR="008C486B">
        <w:t xml:space="preserve">2016 </w:t>
      </w:r>
      <w:r w:rsidR="004F1DFE">
        <w:t xml:space="preserve"> or</w:t>
      </w:r>
      <w:proofErr w:type="gramEnd"/>
      <w:r w:rsidR="004F1DFE">
        <w:t xml:space="preserve"> later should be installed (or as part of Mi</w:t>
      </w:r>
      <w:r w:rsidR="00AB063D">
        <w:t>c</w:t>
      </w:r>
      <w:r w:rsidR="004F1DFE">
        <w:t xml:space="preserve">rosoft 365). </w:t>
      </w:r>
    </w:p>
    <w:p w14:paraId="012CE6B0" w14:textId="23CC201A" w:rsidR="004F1DFE" w:rsidRDefault="004F1DFE" w:rsidP="00E314CE">
      <w:pPr>
        <w:ind w:left="576"/>
      </w:pPr>
      <w:r>
        <w:t xml:space="preserve">The </w:t>
      </w:r>
      <w:proofErr w:type="spellStart"/>
      <w:r>
        <w:t>PowerQuery</w:t>
      </w:r>
      <w:proofErr w:type="spellEnd"/>
      <w:r>
        <w:t xml:space="preserve"> transformations are generally CPU bound so a powerful CP</w:t>
      </w:r>
      <w:r w:rsidR="00C2162D">
        <w:t>U</w:t>
      </w:r>
      <w:r>
        <w:t xml:space="preserve"> will mean that they take less time. </w:t>
      </w:r>
    </w:p>
    <w:p w14:paraId="382A5A10" w14:textId="301F60FE" w:rsidR="00D705B4" w:rsidRDefault="00D705B4" w:rsidP="00D705B4">
      <w:pPr>
        <w:pStyle w:val="Heading2"/>
      </w:pPr>
      <w:r>
        <w:t>Contents</w:t>
      </w:r>
      <w:r w:rsidR="004F1DFE">
        <w:t xml:space="preserve"> of </w:t>
      </w:r>
      <w:r w:rsidR="00A11810">
        <w:t>re</w:t>
      </w:r>
      <w:r w:rsidR="004F65A7">
        <w:t>pository</w:t>
      </w:r>
    </w:p>
    <w:p w14:paraId="27AABDD1" w14:textId="5446052C" w:rsidR="00D705B4" w:rsidRDefault="00D705B4" w:rsidP="00D705B4">
      <w:pPr>
        <w:ind w:left="576"/>
      </w:pPr>
      <w:r>
        <w:t xml:space="preserve">The </w:t>
      </w:r>
      <w:r w:rsidR="004F65A7" w:rsidRPr="004F65A7">
        <w:t>repository</w:t>
      </w:r>
      <w:r w:rsidR="004F65A7" w:rsidRPr="004F65A7">
        <w:t xml:space="preserve"> </w:t>
      </w:r>
      <w:r>
        <w:t>contains the</w:t>
      </w:r>
      <w:r w:rsidR="009F1BF3">
        <w:t xml:space="preserve"> following </w:t>
      </w:r>
    </w:p>
    <w:p w14:paraId="4F238F8E" w14:textId="30D87ED5" w:rsidR="00E267C2" w:rsidRDefault="00E267C2" w:rsidP="006248D2">
      <w:pPr>
        <w:pStyle w:val="ListParagraph"/>
        <w:numPr>
          <w:ilvl w:val="0"/>
          <w:numId w:val="8"/>
        </w:numPr>
      </w:pPr>
      <w:r>
        <w:t xml:space="preserve">This Readme </w:t>
      </w:r>
      <w:r w:rsidR="00DF285A">
        <w:t xml:space="preserve">document </w:t>
      </w:r>
    </w:p>
    <w:p w14:paraId="4C1FA87D" w14:textId="04D29515" w:rsidR="00DF285A" w:rsidRDefault="003A24D2" w:rsidP="006248D2">
      <w:pPr>
        <w:pStyle w:val="ListParagraph"/>
        <w:numPr>
          <w:ilvl w:val="0"/>
          <w:numId w:val="8"/>
        </w:numPr>
      </w:pPr>
      <w:r>
        <w:t>PQfor</w:t>
      </w:r>
      <w:r w:rsidR="00DF285A">
        <w:t>Noise.xls – This spreadsheet contains the</w:t>
      </w:r>
      <w:r w:rsidR="003F0BB3">
        <w:t xml:space="preserve"> </w:t>
      </w:r>
      <w:proofErr w:type="spellStart"/>
      <w:r w:rsidR="003F0BB3">
        <w:t>PowerQuery</w:t>
      </w:r>
      <w:proofErr w:type="spellEnd"/>
      <w:r w:rsidR="003F0BB3">
        <w:t xml:space="preserve"> </w:t>
      </w:r>
      <w:r w:rsidR="002920EF">
        <w:t xml:space="preserve">set-up and initial settings of parameters. </w:t>
      </w:r>
    </w:p>
    <w:p w14:paraId="24B2C215" w14:textId="211F68B8" w:rsidR="005062AF" w:rsidRDefault="005062AF" w:rsidP="006248D2">
      <w:pPr>
        <w:pStyle w:val="ListParagraph"/>
        <w:numPr>
          <w:ilvl w:val="0"/>
          <w:numId w:val="8"/>
        </w:numPr>
      </w:pPr>
      <w:r>
        <w:t>SVAN971.</w:t>
      </w:r>
      <w:r w:rsidR="009361DF">
        <w:t>csv</w:t>
      </w:r>
      <w:r>
        <w:t xml:space="preserve">, </w:t>
      </w:r>
      <w:proofErr w:type="gramStart"/>
      <w:r w:rsidR="009361DF">
        <w:t>CirrusCR821A.xls ,</w:t>
      </w:r>
      <w:proofErr w:type="gramEnd"/>
      <w:r w:rsidR="009361DF">
        <w:t xml:space="preserve">Larson820.xls and </w:t>
      </w:r>
      <w:r w:rsidR="003E506B">
        <w:t>Nor140.csv</w:t>
      </w:r>
      <w:r w:rsidR="009361DF">
        <w:t xml:space="preserve"> </w:t>
      </w:r>
      <w:r w:rsidR="00DB2608">
        <w:t xml:space="preserve">– 4 sample csv files from different </w:t>
      </w:r>
      <w:r w:rsidR="006248D2">
        <w:t xml:space="preserve">suppliers. </w:t>
      </w:r>
    </w:p>
    <w:p w14:paraId="3D838FBB" w14:textId="5560F563" w:rsidR="002920EF" w:rsidRDefault="004F65A7" w:rsidP="00D705B4">
      <w:pPr>
        <w:ind w:left="576"/>
      </w:pPr>
      <w:r>
        <w:t xml:space="preserve">Copy </w:t>
      </w:r>
      <w:r w:rsidR="0096167D">
        <w:t xml:space="preserve">all files to </w:t>
      </w:r>
      <w:r w:rsidR="00A9688D">
        <w:t xml:space="preserve">a </w:t>
      </w:r>
      <w:r w:rsidR="0096167D">
        <w:t>folder</w:t>
      </w:r>
      <w:r w:rsidR="00A9688D">
        <w:t xml:space="preserve"> on your PC</w:t>
      </w:r>
      <w:r w:rsidR="0096167D">
        <w:t xml:space="preserve">. </w:t>
      </w:r>
    </w:p>
    <w:p w14:paraId="7545AA9B" w14:textId="44D4A769" w:rsidR="00B14CA2" w:rsidRPr="00B14CA2" w:rsidRDefault="00D85419" w:rsidP="00C94281">
      <w:pPr>
        <w:pStyle w:val="Heading2"/>
      </w:pPr>
      <w:r>
        <w:t xml:space="preserve">Starting </w:t>
      </w:r>
    </w:p>
    <w:p w14:paraId="0EC07751" w14:textId="033F086F" w:rsidR="00812249" w:rsidRDefault="00812249" w:rsidP="0094593F">
      <w:pPr>
        <w:ind w:left="576"/>
      </w:pPr>
      <w:r>
        <w:t>To operate</w:t>
      </w:r>
      <w:r w:rsidR="00D705B4">
        <w:t xml:space="preserve"> </w:t>
      </w:r>
      <w:r>
        <w:t xml:space="preserve">it do the following. </w:t>
      </w:r>
    </w:p>
    <w:p w14:paraId="593E6FBC" w14:textId="1E48EC89" w:rsidR="001F3102" w:rsidRDefault="00394DEC" w:rsidP="0094593F">
      <w:pPr>
        <w:ind w:left="576"/>
      </w:pPr>
      <w:r>
        <w:lastRenderedPageBreak/>
        <w:t xml:space="preserve">Open the </w:t>
      </w:r>
      <w:r w:rsidR="00D00EDD">
        <w:t xml:space="preserve">csv file of interest </w:t>
      </w:r>
      <w:proofErr w:type="gramStart"/>
      <w:r w:rsidR="00D00EDD">
        <w:t>and also</w:t>
      </w:r>
      <w:proofErr w:type="gramEnd"/>
      <w:r w:rsidR="00D00EDD">
        <w:t xml:space="preserve"> the </w:t>
      </w:r>
      <w:r>
        <w:t xml:space="preserve">spreadsheet </w:t>
      </w:r>
      <w:r w:rsidR="003A24D2">
        <w:rPr>
          <w:b/>
          <w:bCs/>
        </w:rPr>
        <w:t>PQfor</w:t>
      </w:r>
      <w:r w:rsidR="004F1DFE" w:rsidRPr="004F1DFE">
        <w:rPr>
          <w:b/>
          <w:bCs/>
        </w:rPr>
        <w:t>Noise.xls</w:t>
      </w:r>
      <w:r w:rsidR="00B36F25">
        <w:rPr>
          <w:b/>
          <w:bCs/>
        </w:rPr>
        <w:t xml:space="preserve">. </w:t>
      </w:r>
      <w:r w:rsidR="004F1DFE">
        <w:t xml:space="preserve"> </w:t>
      </w:r>
      <w:r w:rsidR="00B36F25">
        <w:t>G</w:t>
      </w:r>
      <w:r w:rsidR="00A967B0">
        <w:t>o to the Parameters worksheet.</w:t>
      </w:r>
    </w:p>
    <w:p w14:paraId="2BD4722F" w14:textId="25E294E5" w:rsidR="003466AD" w:rsidRDefault="001F3102" w:rsidP="0094593F">
      <w:pPr>
        <w:ind w:left="576"/>
      </w:pPr>
      <w:r w:rsidRPr="004F1DFE">
        <w:rPr>
          <w:b/>
          <w:bCs/>
        </w:rPr>
        <w:t xml:space="preserve">Note </w:t>
      </w:r>
      <w:r>
        <w:t xml:space="preserve">– it may be necessary </w:t>
      </w:r>
      <w:r w:rsidR="004F1DFE">
        <w:t xml:space="preserve">when changing values </w:t>
      </w:r>
      <w:r>
        <w:t xml:space="preserve">to </w:t>
      </w:r>
      <w:r w:rsidR="00034A94">
        <w:t>hit</w:t>
      </w:r>
      <w:r w:rsidR="00034A94" w:rsidRPr="004F1DFE">
        <w:rPr>
          <w:b/>
          <w:bCs/>
        </w:rPr>
        <w:t xml:space="preserve"> F9</w:t>
      </w:r>
      <w:r w:rsidR="00034A94">
        <w:t xml:space="preserve"> to manually update the cells </w:t>
      </w:r>
      <w:r w:rsidR="00926EA4">
        <w:t>as</w:t>
      </w:r>
      <w:r w:rsidR="00034A94">
        <w:t xml:space="preserve"> automatic update is turned off </w:t>
      </w:r>
      <w:r w:rsidR="00926EA4">
        <w:t xml:space="preserve">in </w:t>
      </w:r>
      <w:r w:rsidR="003A24D2">
        <w:t>PQfor</w:t>
      </w:r>
      <w:r w:rsidR="00926EA4">
        <w:t xml:space="preserve">Noise </w:t>
      </w:r>
      <w:r w:rsidR="00034A94">
        <w:t xml:space="preserve">for performance reasons. </w:t>
      </w:r>
    </w:p>
    <w:p w14:paraId="0CE57D45" w14:textId="2F9118A8" w:rsidR="00C94281" w:rsidRDefault="00C94281" w:rsidP="009E39D0">
      <w:pPr>
        <w:pStyle w:val="Heading2"/>
      </w:pPr>
      <w:r>
        <w:t>Configuration</w:t>
      </w:r>
    </w:p>
    <w:p w14:paraId="4DF3003B" w14:textId="3DC11818" w:rsidR="00C01879" w:rsidRPr="009E39D0" w:rsidRDefault="00C01879" w:rsidP="00C94281">
      <w:pPr>
        <w:pStyle w:val="Heading3"/>
      </w:pPr>
      <w:r w:rsidRPr="009E39D0">
        <w:t>Period Table</w:t>
      </w:r>
    </w:p>
    <w:p w14:paraId="1AAEE047" w14:textId="77777777" w:rsidR="00D84953" w:rsidRDefault="00972423" w:rsidP="0094593F">
      <w:pPr>
        <w:ind w:left="720"/>
      </w:pPr>
      <w:r>
        <w:t xml:space="preserve">The Periods Table defines the </w:t>
      </w:r>
      <w:r w:rsidR="005A11D3">
        <w:t>day</w:t>
      </w:r>
      <w:r w:rsidR="009D0924">
        <w:t xml:space="preserve"> and </w:t>
      </w:r>
      <w:r w:rsidR="005A11D3">
        <w:t>night periods used in environmental assessments. It</w:t>
      </w:r>
      <w:r w:rsidR="009D0924">
        <w:t xml:space="preserve">’s initial setting </w:t>
      </w:r>
      <w:r w:rsidR="00F2507C">
        <w:t>is daytime from 07:</w:t>
      </w:r>
      <w:r w:rsidR="006C496E">
        <w:t xml:space="preserve">00 to 22:59, night-time inclusive </w:t>
      </w:r>
      <w:r w:rsidR="00CE1954">
        <w:t xml:space="preserve">from 23:00 to </w:t>
      </w:r>
      <w:r w:rsidR="0092521D">
        <w:t>06:59 with the data logging times rounded down to the nearest minute. T</w:t>
      </w:r>
      <w:r w:rsidR="00486F62">
        <w:t xml:space="preserve">his is the default for </w:t>
      </w:r>
      <w:r w:rsidR="006C496E">
        <w:t xml:space="preserve">most </w:t>
      </w:r>
      <w:r w:rsidR="00486F62">
        <w:t>environmental noise in the UK</w:t>
      </w:r>
      <w:r w:rsidR="001A4A6D">
        <w:t xml:space="preserve">. </w:t>
      </w:r>
    </w:p>
    <w:p w14:paraId="77112D6E" w14:textId="77777777" w:rsidR="0006780D" w:rsidRDefault="00486F62" w:rsidP="0094593F">
      <w:pPr>
        <w:ind w:left="720"/>
      </w:pPr>
      <w:r w:rsidRPr="00D84953">
        <w:rPr>
          <w:b/>
          <w:bCs/>
        </w:rPr>
        <w:t>Note</w:t>
      </w:r>
      <w:r w:rsidR="005323AB">
        <w:t>,</w:t>
      </w:r>
      <w:r>
        <w:t xml:space="preserve"> you may need to redefine these </w:t>
      </w:r>
      <w:r w:rsidR="00E61DEE">
        <w:t>if you have an “Evening” period o</w:t>
      </w:r>
      <w:r w:rsidR="0086625D">
        <w:t>r if your csv details end times rathe</w:t>
      </w:r>
      <w:r w:rsidR="005323AB">
        <w:t>r</w:t>
      </w:r>
      <w:r w:rsidR="0086625D">
        <w:t xml:space="preserve"> than start times of </w:t>
      </w:r>
      <w:proofErr w:type="gramStart"/>
      <w:r w:rsidR="0086625D">
        <w:t>logging  (</w:t>
      </w:r>
      <w:proofErr w:type="gramEnd"/>
      <w:r w:rsidR="0086625D">
        <w:t>this is quite rare but does occur</w:t>
      </w:r>
      <w:r w:rsidR="00D84953">
        <w:t xml:space="preserve"> in some formats</w:t>
      </w:r>
      <w:r w:rsidR="0086625D">
        <w:t>).</w:t>
      </w:r>
    </w:p>
    <w:p w14:paraId="2494E973" w14:textId="77777777" w:rsidR="000D2594" w:rsidRDefault="000D2594" w:rsidP="000D2594">
      <w:pPr>
        <w:pStyle w:val="Heading3"/>
      </w:pPr>
      <w:r>
        <w:t>Run Parameters</w:t>
      </w:r>
      <w:r w:rsidRPr="00FB27DE">
        <w:t xml:space="preserve"> table </w:t>
      </w:r>
    </w:p>
    <w:p w14:paraId="5BD0EE8A" w14:textId="3D9E69AE" w:rsidR="00A260F8" w:rsidRPr="00A260F8" w:rsidRDefault="00A260F8" w:rsidP="00A260F8">
      <w:pPr>
        <w:ind w:left="720"/>
      </w:pPr>
      <w:r>
        <w:t xml:space="preserve">This contains the following: </w:t>
      </w:r>
    </w:p>
    <w:p w14:paraId="7FCCA3D6" w14:textId="77777777" w:rsidR="000D2594" w:rsidRDefault="000D2594" w:rsidP="000D2594">
      <w:pPr>
        <w:pStyle w:val="ListParagraph"/>
        <w:numPr>
          <w:ilvl w:val="0"/>
          <w:numId w:val="9"/>
        </w:numPr>
        <w:rPr>
          <w:b/>
          <w:bCs/>
        </w:rPr>
      </w:pPr>
      <w:r w:rsidRPr="00DF5538">
        <w:rPr>
          <w:b/>
          <w:bCs/>
        </w:rPr>
        <w:t>Average Aggregation Interval</w:t>
      </w:r>
    </w:p>
    <w:p w14:paraId="68B63862" w14:textId="77777777" w:rsidR="000D2594" w:rsidRDefault="000D2594" w:rsidP="000D2594">
      <w:pPr>
        <w:pStyle w:val="ListParagraph"/>
        <w:ind w:left="1440"/>
      </w:pPr>
      <w:r w:rsidRPr="0017677F">
        <w:t xml:space="preserve">This allows you to aggregate LA90 and </w:t>
      </w:r>
      <w:proofErr w:type="spellStart"/>
      <w:r w:rsidRPr="0017677F">
        <w:t>LAeq</w:t>
      </w:r>
      <w:proofErr w:type="spellEnd"/>
      <w:r w:rsidRPr="0017677F">
        <w:t xml:space="preserve"> values over a longer period than the default. </w:t>
      </w:r>
      <w:r>
        <w:t xml:space="preserve">e.g. If each row of your csv data is at 1 minute intervals and </w:t>
      </w:r>
      <w:proofErr w:type="gramStart"/>
      <w:r>
        <w:t>you  want</w:t>
      </w:r>
      <w:proofErr w:type="gramEnd"/>
      <w:r>
        <w:t xml:space="preserve"> to aggregate </w:t>
      </w:r>
      <w:proofErr w:type="spellStart"/>
      <w:r>
        <w:t>LAeq</w:t>
      </w:r>
      <w:proofErr w:type="spellEnd"/>
      <w:r>
        <w:t xml:space="preserve"> and LA90 over a 15 minute period,  you would enter 15  In effect the transition will aggregate by logarithmically averaging  over the interval period. </w:t>
      </w:r>
    </w:p>
    <w:p w14:paraId="319DFA51" w14:textId="77777777" w:rsidR="000D2594" w:rsidRPr="009723CF" w:rsidRDefault="000D2594" w:rsidP="000D2594">
      <w:pPr>
        <w:pStyle w:val="ListParagraph"/>
        <w:ind w:left="1440"/>
      </w:pPr>
      <w:r w:rsidRPr="009723CF">
        <w:rPr>
          <w:b/>
          <w:bCs/>
        </w:rPr>
        <w:t>Note</w:t>
      </w:r>
      <w:r>
        <w:rPr>
          <w:b/>
          <w:bCs/>
        </w:rPr>
        <w:t xml:space="preserve">: </w:t>
      </w:r>
      <w:r w:rsidRPr="001A3ADA">
        <w:t>Logarithmically averaging LA90</w:t>
      </w:r>
      <w:r>
        <w:t xml:space="preserve"> values</w:t>
      </w:r>
      <w:r w:rsidRPr="001A3ADA">
        <w:t xml:space="preserve"> is not mathematically correct but may approximate to a real LA90. </w:t>
      </w:r>
      <w:r>
        <w:rPr>
          <w:b/>
          <w:bCs/>
        </w:rPr>
        <w:t xml:space="preserve"> </w:t>
      </w:r>
    </w:p>
    <w:p w14:paraId="1498D2CA" w14:textId="77777777" w:rsidR="000D2594" w:rsidRDefault="000D2594" w:rsidP="000D2594">
      <w:pPr>
        <w:pStyle w:val="ListParagraph"/>
        <w:ind w:left="1440"/>
      </w:pPr>
    </w:p>
    <w:p w14:paraId="45DB4F4C" w14:textId="77777777" w:rsidR="000D2594" w:rsidRDefault="000D2594" w:rsidP="000D2594">
      <w:pPr>
        <w:pStyle w:val="ListParagraph"/>
        <w:numPr>
          <w:ilvl w:val="0"/>
          <w:numId w:val="9"/>
        </w:numPr>
        <w:rPr>
          <w:b/>
          <w:bCs/>
        </w:rPr>
      </w:pPr>
      <w:r w:rsidRPr="009723CF">
        <w:rPr>
          <w:b/>
          <w:bCs/>
        </w:rPr>
        <w:t>Maximum Aggregation Interval</w:t>
      </w:r>
    </w:p>
    <w:p w14:paraId="097DEE21" w14:textId="77777777" w:rsidR="000D2594" w:rsidRPr="009723CF" w:rsidRDefault="000D2594" w:rsidP="000D2594">
      <w:pPr>
        <w:pStyle w:val="ListParagraph"/>
        <w:ind w:left="1440"/>
      </w:pPr>
      <w:r>
        <w:t xml:space="preserve">As above. You can decide the interval for aggregation of LAmax values. In practice this will take the highest LAmax value recorded in the aggregation period. </w:t>
      </w:r>
    </w:p>
    <w:p w14:paraId="3F252175" w14:textId="77777777" w:rsidR="000D2594" w:rsidRDefault="000D2594" w:rsidP="000D2594">
      <w:pPr>
        <w:pStyle w:val="ListParagraph"/>
        <w:ind w:left="1440"/>
      </w:pPr>
    </w:p>
    <w:p w14:paraId="0E816B8F" w14:textId="77777777" w:rsidR="000D2594" w:rsidRDefault="000D2594" w:rsidP="000D2594">
      <w:pPr>
        <w:pStyle w:val="ListParagraph"/>
        <w:numPr>
          <w:ilvl w:val="0"/>
          <w:numId w:val="9"/>
        </w:numPr>
        <w:rPr>
          <w:b/>
          <w:bCs/>
        </w:rPr>
      </w:pPr>
      <w:proofErr w:type="spellStart"/>
      <w:r w:rsidRPr="00F71D0E">
        <w:rPr>
          <w:b/>
          <w:bCs/>
        </w:rPr>
        <w:t>LAMax</w:t>
      </w:r>
      <w:proofErr w:type="spellEnd"/>
      <w:r>
        <w:rPr>
          <w:b/>
          <w:bCs/>
        </w:rPr>
        <w:t xml:space="preserve"> </w:t>
      </w:r>
      <w:r w:rsidRPr="00F71D0E">
        <w:rPr>
          <w:b/>
          <w:bCs/>
        </w:rPr>
        <w:t>Rank</w:t>
      </w:r>
    </w:p>
    <w:p w14:paraId="16080F90" w14:textId="77777777" w:rsidR="000D2594" w:rsidRDefault="000D2594" w:rsidP="000D2594">
      <w:pPr>
        <w:pStyle w:val="ListParagraph"/>
        <w:ind w:left="1440"/>
      </w:pPr>
      <w:r w:rsidRPr="00272E1F">
        <w:t>Environmental noise assessments generally look at the 10</w:t>
      </w:r>
      <w:r w:rsidRPr="00272E1F">
        <w:rPr>
          <w:vertAlign w:val="superscript"/>
        </w:rPr>
        <w:t>th</w:t>
      </w:r>
      <w:r w:rsidRPr="00272E1F">
        <w:t xml:space="preserve"> highest LAmax value recorded over a night-time period </w:t>
      </w:r>
      <w:r>
        <w:t xml:space="preserve">so the default here is 10. A different value can be selected if required. </w:t>
      </w:r>
    </w:p>
    <w:p w14:paraId="4E49CD25" w14:textId="77777777" w:rsidR="000D2594" w:rsidRPr="00272E1F" w:rsidRDefault="000D2594" w:rsidP="000D2594">
      <w:pPr>
        <w:pStyle w:val="ListParagraph"/>
        <w:ind w:left="1440"/>
      </w:pPr>
    </w:p>
    <w:p w14:paraId="004FE960" w14:textId="77777777" w:rsidR="000D2594" w:rsidRPr="002F57A4" w:rsidRDefault="000D2594" w:rsidP="000D2594">
      <w:pPr>
        <w:pStyle w:val="ListParagraph"/>
        <w:numPr>
          <w:ilvl w:val="0"/>
          <w:numId w:val="11"/>
        </w:numPr>
      </w:pPr>
      <w:r>
        <w:rPr>
          <w:b/>
          <w:bCs/>
        </w:rPr>
        <w:lastRenderedPageBreak/>
        <w:t xml:space="preserve">Path and Name </w:t>
      </w:r>
    </w:p>
    <w:p w14:paraId="14B8AEB1" w14:textId="77777777" w:rsidR="000D2594" w:rsidRPr="00DB42E7" w:rsidRDefault="000D2594" w:rsidP="000D2594">
      <w:pPr>
        <w:pStyle w:val="ListParagraph"/>
        <w:ind w:left="1440"/>
      </w:pPr>
      <w:r w:rsidRPr="00DB42E7">
        <w:t xml:space="preserve">Path and name to the csv file. The path expects a </w:t>
      </w:r>
      <w:r>
        <w:t xml:space="preserve">backslash </w:t>
      </w:r>
      <w:r w:rsidRPr="00DB42E7">
        <w:t>“</w:t>
      </w:r>
      <w:r>
        <w:t>\</w:t>
      </w:r>
      <w:r w:rsidRPr="00DB42E7">
        <w:t>” on the end</w:t>
      </w:r>
      <w:r>
        <w:t xml:space="preserve"> </w:t>
      </w:r>
      <w:proofErr w:type="spellStart"/>
      <w:r>
        <w:t>e.g</w:t>
      </w:r>
      <w:proofErr w:type="spellEnd"/>
      <w:r>
        <w:t xml:space="preserve"> </w:t>
      </w:r>
      <w:r w:rsidRPr="00F963BC">
        <w:rPr>
          <w:b/>
          <w:bCs/>
        </w:rPr>
        <w:t>“c:</w:t>
      </w:r>
      <w:r>
        <w:rPr>
          <w:b/>
          <w:bCs/>
        </w:rPr>
        <w:t>\</w:t>
      </w:r>
      <w:r w:rsidRPr="00F963BC">
        <w:rPr>
          <w:b/>
          <w:bCs/>
        </w:rPr>
        <w:t>data</w:t>
      </w:r>
      <w:r>
        <w:rPr>
          <w:b/>
          <w:bCs/>
        </w:rPr>
        <w:t xml:space="preserve">\”. </w:t>
      </w:r>
      <w:r>
        <w:t xml:space="preserve">  I have not included a file browse for file button here as I did not want to put any VBA into the spreadsheet. </w:t>
      </w:r>
      <w:proofErr w:type="gramStart"/>
      <w:r>
        <w:t>However</w:t>
      </w:r>
      <w:proofErr w:type="gramEnd"/>
      <w:r>
        <w:t xml:space="preserve"> it is straightforward to do of you have knowledge of VBA.</w:t>
      </w:r>
    </w:p>
    <w:p w14:paraId="17DA1644" w14:textId="77777777" w:rsidR="000D2594" w:rsidRDefault="000D2594" w:rsidP="0094593F">
      <w:pPr>
        <w:ind w:left="720"/>
      </w:pPr>
    </w:p>
    <w:p w14:paraId="13292EEC" w14:textId="7121170D" w:rsidR="004B5037" w:rsidRDefault="00FB1E89" w:rsidP="004B5037">
      <w:pPr>
        <w:pStyle w:val="Heading3"/>
      </w:pPr>
      <w:r>
        <w:t>Labelling the csv files</w:t>
      </w:r>
    </w:p>
    <w:p w14:paraId="659B6A56" w14:textId="77777777" w:rsidR="00DE2FD5" w:rsidRDefault="00DE2FD5" w:rsidP="004B5037">
      <w:pPr>
        <w:ind w:left="720"/>
      </w:pPr>
      <w:r>
        <w:t>The Power Query transformation searches</w:t>
      </w:r>
      <w:r w:rsidR="00CB0586">
        <w:t xml:space="preserve"> the csv file for </w:t>
      </w:r>
      <w:r w:rsidR="00823E79">
        <w:t>labels</w:t>
      </w:r>
      <w:r w:rsidR="00CB0586">
        <w:t xml:space="preserve"> th</w:t>
      </w:r>
      <w:r w:rsidR="00823E79">
        <w:t>at</w:t>
      </w:r>
      <w:r w:rsidR="00CB0586">
        <w:t xml:space="preserve"> define </w:t>
      </w:r>
      <w:r w:rsidR="0098300F">
        <w:t>the location in the time series your columns are and where they start</w:t>
      </w:r>
      <w:r w:rsidR="00823E79">
        <w:t xml:space="preserve">. The labels </w:t>
      </w:r>
      <w:r w:rsidR="003702C9">
        <w:t>are</w:t>
      </w:r>
      <w:r>
        <w:t>:</w:t>
      </w:r>
    </w:p>
    <w:p w14:paraId="64A7119B" w14:textId="398D9AAF" w:rsidR="009775EA" w:rsidRDefault="00DE2FD5" w:rsidP="00E44E29">
      <w:pPr>
        <w:pStyle w:val="ListParagraph"/>
        <w:numPr>
          <w:ilvl w:val="0"/>
          <w:numId w:val="12"/>
        </w:numPr>
      </w:pPr>
      <w:r>
        <w:t>Either “</w:t>
      </w:r>
      <w:r w:rsidR="003702C9" w:rsidRPr="00E44E29">
        <w:rPr>
          <w:b/>
          <w:bCs/>
        </w:rPr>
        <w:t>\*</w:t>
      </w:r>
      <w:proofErr w:type="spellStart"/>
      <w:r w:rsidR="003702C9" w:rsidRPr="00E44E29">
        <w:rPr>
          <w:b/>
          <w:bCs/>
        </w:rPr>
        <w:t>DateandTime</w:t>
      </w:r>
      <w:proofErr w:type="spellEnd"/>
      <w:r w:rsidR="003702C9" w:rsidRPr="00E44E29">
        <w:rPr>
          <w:b/>
          <w:bCs/>
        </w:rPr>
        <w:t>*</w:t>
      </w:r>
      <w:proofErr w:type="gramStart"/>
      <w:r w:rsidR="003702C9" w:rsidRPr="00E44E29">
        <w:rPr>
          <w:b/>
          <w:bCs/>
        </w:rPr>
        <w:t>\</w:t>
      </w:r>
      <w:r w:rsidRPr="00E44E29">
        <w:rPr>
          <w:b/>
          <w:bCs/>
        </w:rPr>
        <w:t xml:space="preserve">” </w:t>
      </w:r>
      <w:r w:rsidR="003702C9">
        <w:t xml:space="preserve"> or</w:t>
      </w:r>
      <w:proofErr w:type="gramEnd"/>
      <w:r w:rsidR="003702C9">
        <w:t xml:space="preserve"> </w:t>
      </w:r>
      <w:r w:rsidR="009775EA">
        <w:t>“</w:t>
      </w:r>
      <w:r w:rsidR="003702C9" w:rsidRPr="00E44E29">
        <w:rPr>
          <w:b/>
          <w:bCs/>
        </w:rPr>
        <w:t>\*Date*\</w:t>
      </w:r>
      <w:r w:rsidR="009775EA" w:rsidRPr="00E44E29">
        <w:rPr>
          <w:b/>
          <w:bCs/>
        </w:rPr>
        <w:t>”</w:t>
      </w:r>
      <w:r w:rsidR="003702C9">
        <w:t xml:space="preserve"> and </w:t>
      </w:r>
      <w:r w:rsidR="009775EA">
        <w:t>“</w:t>
      </w:r>
      <w:r w:rsidR="003702C9" w:rsidRPr="00E44E29">
        <w:rPr>
          <w:b/>
          <w:bCs/>
        </w:rPr>
        <w:t>\*Time</w:t>
      </w:r>
      <w:r w:rsidRPr="00E44E29">
        <w:rPr>
          <w:b/>
          <w:bCs/>
        </w:rPr>
        <w:t>*\</w:t>
      </w:r>
      <w:r w:rsidR="009775EA" w:rsidRPr="00E44E29">
        <w:rPr>
          <w:b/>
          <w:bCs/>
        </w:rPr>
        <w:t>”</w:t>
      </w:r>
      <w:r>
        <w:t xml:space="preserve"> depending on the </w:t>
      </w:r>
      <w:r w:rsidR="009775EA">
        <w:t>csv file format.</w:t>
      </w:r>
    </w:p>
    <w:p w14:paraId="41D02479" w14:textId="246304AD" w:rsidR="009775EA" w:rsidRDefault="00117FB9" w:rsidP="00E44E29">
      <w:pPr>
        <w:pStyle w:val="ListParagraph"/>
        <w:numPr>
          <w:ilvl w:val="0"/>
          <w:numId w:val="12"/>
        </w:numPr>
      </w:pPr>
      <w:r w:rsidRPr="00E44E29">
        <w:rPr>
          <w:b/>
          <w:bCs/>
        </w:rPr>
        <w:t>\*</w:t>
      </w:r>
      <w:proofErr w:type="spellStart"/>
      <w:r w:rsidRPr="00E44E29">
        <w:rPr>
          <w:b/>
          <w:bCs/>
        </w:rPr>
        <w:t>LAeq</w:t>
      </w:r>
      <w:proofErr w:type="spellEnd"/>
      <w:r w:rsidRPr="00E44E29">
        <w:rPr>
          <w:b/>
          <w:bCs/>
        </w:rPr>
        <w:t>*\</w:t>
      </w:r>
    </w:p>
    <w:p w14:paraId="6D3A4D69" w14:textId="77777777" w:rsidR="009775EA" w:rsidRDefault="00117FB9" w:rsidP="00E44E29">
      <w:pPr>
        <w:pStyle w:val="ListParagraph"/>
        <w:numPr>
          <w:ilvl w:val="0"/>
          <w:numId w:val="12"/>
        </w:numPr>
      </w:pPr>
      <w:r w:rsidRPr="00E44E29">
        <w:rPr>
          <w:b/>
          <w:bCs/>
        </w:rPr>
        <w:t>\*LAmax*\</w:t>
      </w:r>
      <w:r>
        <w:t xml:space="preserve"> </w:t>
      </w:r>
    </w:p>
    <w:p w14:paraId="7637C9ED" w14:textId="05B7159A" w:rsidR="009775EA" w:rsidRPr="00E44E29" w:rsidRDefault="00117FB9" w:rsidP="00E44E29">
      <w:pPr>
        <w:pStyle w:val="ListParagraph"/>
        <w:numPr>
          <w:ilvl w:val="0"/>
          <w:numId w:val="12"/>
        </w:numPr>
        <w:rPr>
          <w:b/>
          <w:bCs/>
        </w:rPr>
      </w:pPr>
      <w:r w:rsidRPr="00E44E29">
        <w:rPr>
          <w:b/>
          <w:bCs/>
        </w:rPr>
        <w:t>\*LA90*\</w:t>
      </w:r>
    </w:p>
    <w:p w14:paraId="0F9C7BFD" w14:textId="4EFFD082" w:rsidR="004B5037" w:rsidRDefault="00117FB9" w:rsidP="004B5037">
      <w:pPr>
        <w:ind w:left="720"/>
      </w:pPr>
      <w:r w:rsidRPr="009775EA">
        <w:rPr>
          <w:b/>
          <w:bCs/>
        </w:rPr>
        <w:t xml:space="preserve"> </w:t>
      </w:r>
      <w:r w:rsidR="00725E4C">
        <w:t xml:space="preserve">An example is shown below where labels </w:t>
      </w:r>
      <w:r w:rsidR="00F212A3">
        <w:t xml:space="preserve">define where the time series date starts. </w:t>
      </w:r>
      <w:r w:rsidR="003B2894">
        <w:t xml:space="preserve"> I have highlighted them in red for clarity here (they don’t need to be red). </w:t>
      </w:r>
    </w:p>
    <w:p w14:paraId="2907B393" w14:textId="75E4EC3A" w:rsidR="00823E79" w:rsidRDefault="00E049CF" w:rsidP="004B5037">
      <w:pPr>
        <w:ind w:left="720"/>
      </w:pPr>
      <w:r>
        <w:rPr>
          <w:noProof/>
        </w:rPr>
        <w:drawing>
          <wp:inline distT="0" distB="0" distL="0" distR="0" wp14:anchorId="6A477570" wp14:editId="23FD84C9">
            <wp:extent cx="5833068" cy="986134"/>
            <wp:effectExtent l="0" t="0" r="0" b="5080"/>
            <wp:docPr id="753509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09809" name="Picture 1" descr="A screenshot of a computer&#10;&#10;AI-generated content may be incorrect."/>
                    <pic:cNvPicPr/>
                  </pic:nvPicPr>
                  <pic:blipFill rotWithShape="1">
                    <a:blip r:embed="rId5"/>
                    <a:srcRect l="1859" t="5307"/>
                    <a:stretch/>
                  </pic:blipFill>
                  <pic:spPr bwMode="auto">
                    <a:xfrm>
                      <a:off x="0" y="0"/>
                      <a:ext cx="5833068" cy="986134"/>
                    </a:xfrm>
                    <a:prstGeom prst="rect">
                      <a:avLst/>
                    </a:prstGeom>
                    <a:ln>
                      <a:noFill/>
                    </a:ln>
                    <a:extLst>
                      <a:ext uri="{53640926-AAD7-44D8-BBD7-CCE9431645EC}">
                        <a14:shadowObscured xmlns:a14="http://schemas.microsoft.com/office/drawing/2010/main"/>
                      </a:ext>
                    </a:extLst>
                  </pic:spPr>
                </pic:pic>
              </a:graphicData>
            </a:graphic>
          </wp:inline>
        </w:drawing>
      </w:r>
    </w:p>
    <w:p w14:paraId="152CBD4A" w14:textId="77777777" w:rsidR="00823E79" w:rsidRDefault="00823E79" w:rsidP="004B5037">
      <w:pPr>
        <w:ind w:left="720"/>
      </w:pPr>
    </w:p>
    <w:p w14:paraId="2F48CD7F" w14:textId="63C52B72" w:rsidR="00DE2FD5" w:rsidRDefault="00E44E29" w:rsidP="004B5037">
      <w:pPr>
        <w:ind w:left="720"/>
      </w:pPr>
      <w:r>
        <w:t>So</w:t>
      </w:r>
      <w:r w:rsidR="0099761C">
        <w:t>,</w:t>
      </w:r>
      <w:r>
        <w:t xml:space="preserve"> for each csv file you wish to</w:t>
      </w:r>
      <w:r w:rsidR="0006780D">
        <w:t xml:space="preserve"> process you must </w:t>
      </w:r>
      <w:r w:rsidR="004027B2">
        <w:t>add those</w:t>
      </w:r>
      <w:r w:rsidR="00AE2231">
        <w:t xml:space="preserve"> labels</w:t>
      </w:r>
      <w:r w:rsidR="004027B2">
        <w:t xml:space="preserve"> </w:t>
      </w:r>
      <w:r w:rsidR="00436FCF">
        <w:t xml:space="preserve">to the csv file above the data. Four sample files are in the enclosed zip file. </w:t>
      </w:r>
      <w:r w:rsidR="0006780D">
        <w:t xml:space="preserve"> </w:t>
      </w:r>
    </w:p>
    <w:p w14:paraId="0AEF55E5" w14:textId="77777777" w:rsidR="002F57A4" w:rsidRDefault="002F57A4" w:rsidP="002F57A4">
      <w:pPr>
        <w:pStyle w:val="ListParagraph"/>
        <w:ind w:left="1440"/>
      </w:pPr>
    </w:p>
    <w:p w14:paraId="57706FDD" w14:textId="77777777" w:rsidR="007018C4" w:rsidRDefault="007018C4" w:rsidP="007018C4">
      <w:pPr>
        <w:pStyle w:val="Heading1"/>
      </w:pPr>
      <w:r>
        <w:t>Operation</w:t>
      </w:r>
    </w:p>
    <w:p w14:paraId="4D9B0DE6" w14:textId="4CD0057C" w:rsidR="00054A7B" w:rsidRPr="00054A7B" w:rsidRDefault="00054A7B" w:rsidP="00054A7B">
      <w:pPr>
        <w:pStyle w:val="Heading2"/>
      </w:pPr>
      <w:r>
        <w:t xml:space="preserve">Process </w:t>
      </w:r>
    </w:p>
    <w:p w14:paraId="070CA997" w14:textId="6C764AA1" w:rsidR="000C60BF" w:rsidRDefault="00FB2301" w:rsidP="0094593F">
      <w:pPr>
        <w:ind w:left="576"/>
      </w:pPr>
      <w:r>
        <w:t xml:space="preserve">With the above complete click </w:t>
      </w:r>
      <w:r w:rsidR="003E30B0" w:rsidRPr="003E30B0">
        <w:rPr>
          <w:b/>
          <w:bCs/>
        </w:rPr>
        <w:t>“</w:t>
      </w:r>
      <w:r w:rsidRPr="003E30B0">
        <w:rPr>
          <w:b/>
          <w:bCs/>
        </w:rPr>
        <w:t>Data</w:t>
      </w:r>
      <w:r w:rsidR="003E30B0" w:rsidRPr="003E30B0">
        <w:rPr>
          <w:b/>
          <w:bCs/>
        </w:rPr>
        <w:t xml:space="preserve">” </w:t>
      </w:r>
      <w:r w:rsidR="00DA7F24">
        <w:t xml:space="preserve">then </w:t>
      </w:r>
      <w:r w:rsidR="00DA7F24" w:rsidRPr="0006228D">
        <w:rPr>
          <w:b/>
          <w:bCs/>
        </w:rPr>
        <w:t>“Queries and Connections”</w:t>
      </w:r>
      <w:r w:rsidR="00DA7F24">
        <w:t xml:space="preserve"> from the </w:t>
      </w:r>
      <w:r w:rsidR="0006228D">
        <w:t xml:space="preserve">toolbar. You should see </w:t>
      </w:r>
      <w:r w:rsidR="000C60BF">
        <w:t>the screen below</w:t>
      </w:r>
      <w:r w:rsidR="00EF6D9D">
        <w:t>.</w:t>
      </w:r>
    </w:p>
    <w:p w14:paraId="2CCF528E" w14:textId="737542E1" w:rsidR="000C60BF" w:rsidRDefault="00945E18" w:rsidP="006F61CB">
      <w:pPr>
        <w:ind w:left="576"/>
        <w:jc w:val="center"/>
      </w:pPr>
      <w:r w:rsidRPr="00945E18">
        <w:rPr>
          <w:noProof/>
        </w:rPr>
        <w:lastRenderedPageBreak/>
        <w:drawing>
          <wp:inline distT="0" distB="0" distL="0" distR="0" wp14:anchorId="184009CA" wp14:editId="5ADFB039">
            <wp:extent cx="4471516" cy="2359967"/>
            <wp:effectExtent l="0" t="0" r="5715" b="2540"/>
            <wp:docPr id="3136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3614" cy="2361074"/>
                    </a:xfrm>
                    <a:prstGeom prst="rect">
                      <a:avLst/>
                    </a:prstGeom>
                    <a:noFill/>
                    <a:ln>
                      <a:noFill/>
                    </a:ln>
                  </pic:spPr>
                </pic:pic>
              </a:graphicData>
            </a:graphic>
          </wp:inline>
        </w:drawing>
      </w:r>
    </w:p>
    <w:p w14:paraId="708FEABD" w14:textId="2E6DAE59" w:rsidR="000C60BF" w:rsidRDefault="000C60BF" w:rsidP="0094593F">
      <w:pPr>
        <w:ind w:left="576"/>
      </w:pPr>
      <w:r>
        <w:t xml:space="preserve">The 3 Data Tables at the top </w:t>
      </w:r>
      <w:r w:rsidR="00154384">
        <w:t xml:space="preserve">right </w:t>
      </w:r>
      <w:r>
        <w:t xml:space="preserve">are </w:t>
      </w:r>
      <w:r w:rsidR="005654B9">
        <w:t>created by the transformation. You can see the</w:t>
      </w:r>
      <w:r w:rsidR="004544DF">
        <w:t>m</w:t>
      </w:r>
      <w:r w:rsidR="005654B9">
        <w:t xml:space="preserve"> </w:t>
      </w:r>
      <w:proofErr w:type="gramStart"/>
      <w:r w:rsidR="004544DF">
        <w:t>o</w:t>
      </w:r>
      <w:r w:rsidR="005654B9">
        <w:t xml:space="preserve">n </w:t>
      </w:r>
      <w:r w:rsidR="004544DF">
        <w:t xml:space="preserve"> the</w:t>
      </w:r>
      <w:proofErr w:type="gramEnd"/>
      <w:r w:rsidR="004544DF">
        <w:t xml:space="preserve"> worksheets </w:t>
      </w:r>
      <w:r w:rsidR="004544DF" w:rsidRPr="00CF450E">
        <w:rPr>
          <w:b/>
          <w:bCs/>
        </w:rPr>
        <w:t>“S</w:t>
      </w:r>
      <w:r w:rsidR="00D36395" w:rsidRPr="00CF450E">
        <w:rPr>
          <w:b/>
          <w:bCs/>
        </w:rPr>
        <w:t>ummary”,</w:t>
      </w:r>
      <w:r w:rsidR="00D36395">
        <w:t xml:space="preserve"> </w:t>
      </w:r>
      <w:r w:rsidR="00D36395" w:rsidRPr="00CF450E">
        <w:rPr>
          <w:b/>
          <w:bCs/>
        </w:rPr>
        <w:t>“Background Analysis”</w:t>
      </w:r>
      <w:r w:rsidR="00D36395">
        <w:t xml:space="preserve"> and </w:t>
      </w:r>
      <w:r w:rsidR="00D36395" w:rsidRPr="00CF450E">
        <w:rPr>
          <w:b/>
          <w:bCs/>
        </w:rPr>
        <w:t xml:space="preserve">“Time Series”.  </w:t>
      </w:r>
      <w:r w:rsidR="00D36395">
        <w:t>The other functions and queries shown are used by Power Query internally</w:t>
      </w:r>
      <w:r w:rsidR="00CF78B8">
        <w:t xml:space="preserve"> to produce </w:t>
      </w:r>
      <w:r w:rsidR="006F61CB">
        <w:t xml:space="preserve">these 3 tables. </w:t>
      </w:r>
    </w:p>
    <w:p w14:paraId="5CFB4618" w14:textId="19C3E633" w:rsidR="007018C4" w:rsidRDefault="00FE7958" w:rsidP="0094593F">
      <w:pPr>
        <w:ind w:left="576"/>
      </w:pPr>
      <w:r>
        <w:t>O</w:t>
      </w:r>
      <w:r w:rsidR="003E30B0">
        <w:t>n the top menu</w:t>
      </w:r>
      <w:r w:rsidR="00FB2301">
        <w:t xml:space="preserve"> </w:t>
      </w:r>
      <w:r w:rsidR="00917C46">
        <w:t>click</w:t>
      </w:r>
      <w:r w:rsidR="00FB2301">
        <w:t xml:space="preserve"> </w:t>
      </w:r>
      <w:r w:rsidR="003E30B0" w:rsidRPr="003E30B0">
        <w:rPr>
          <w:b/>
          <w:bCs/>
        </w:rPr>
        <w:t>“</w:t>
      </w:r>
      <w:r w:rsidR="00FB2301" w:rsidRPr="003E30B0">
        <w:rPr>
          <w:b/>
          <w:bCs/>
        </w:rPr>
        <w:t xml:space="preserve">Refresh </w:t>
      </w:r>
      <w:r w:rsidR="003E30B0" w:rsidRPr="003E30B0">
        <w:rPr>
          <w:b/>
          <w:bCs/>
        </w:rPr>
        <w:t>All”</w:t>
      </w:r>
      <w:r w:rsidR="00DB7A38">
        <w:rPr>
          <w:b/>
          <w:bCs/>
        </w:rPr>
        <w:t xml:space="preserve">.  </w:t>
      </w:r>
      <w:r w:rsidR="00DB7A38">
        <w:t>Depending on the size of your csv file it</w:t>
      </w:r>
      <w:r w:rsidR="00B64DAE">
        <w:t xml:space="preserve"> may </w:t>
      </w:r>
      <w:r w:rsidR="00DB7A38">
        <w:t xml:space="preserve">take </w:t>
      </w:r>
      <w:r w:rsidR="00917C46">
        <w:t>a little while</w:t>
      </w:r>
      <w:r w:rsidR="00B64DAE">
        <w:t xml:space="preserve"> to </w:t>
      </w:r>
      <w:proofErr w:type="gramStart"/>
      <w:r w:rsidR="00B64DAE">
        <w:t xml:space="preserve">process </w:t>
      </w:r>
      <w:r>
        <w:t xml:space="preserve"> and</w:t>
      </w:r>
      <w:proofErr w:type="gramEnd"/>
      <w:r>
        <w:t xml:space="preserve"> you can track progress </w:t>
      </w:r>
      <w:r w:rsidR="00F919DD">
        <w:t>in the right-hand pane</w:t>
      </w:r>
      <w:r w:rsidR="00B64DAE">
        <w:t xml:space="preserve">. </w:t>
      </w:r>
      <w:r w:rsidR="003340F4">
        <w:t xml:space="preserve"> </w:t>
      </w:r>
      <w:r w:rsidR="005E36FE">
        <w:t xml:space="preserve">  Once complete Power Query should process the results and update</w:t>
      </w:r>
      <w:r w:rsidR="00596C70">
        <w:t xml:space="preserve"> </w:t>
      </w:r>
      <w:r w:rsidR="00814F31">
        <w:t xml:space="preserve">the 3 tables on the top right. </w:t>
      </w:r>
    </w:p>
    <w:p w14:paraId="367E4ACF" w14:textId="77777777" w:rsidR="003666BD" w:rsidRDefault="003666BD" w:rsidP="0094593F">
      <w:pPr>
        <w:ind w:left="576"/>
      </w:pPr>
    </w:p>
    <w:p w14:paraId="79F961C2" w14:textId="7FA24943" w:rsidR="00054A7B" w:rsidRDefault="00054A7B" w:rsidP="00054A7B">
      <w:pPr>
        <w:pStyle w:val="Heading2"/>
      </w:pPr>
      <w:r>
        <w:t xml:space="preserve">Results </w:t>
      </w:r>
    </w:p>
    <w:p w14:paraId="6221CB5B" w14:textId="6925EF58" w:rsidR="005E36FE" w:rsidRDefault="00F57060" w:rsidP="00722CC1">
      <w:pPr>
        <w:pStyle w:val="Heading3"/>
      </w:pPr>
      <w:r>
        <w:t>Time Series</w:t>
      </w:r>
    </w:p>
    <w:p w14:paraId="0D43E6DB" w14:textId="40C666D8" w:rsidR="00B06522" w:rsidRDefault="000E5400" w:rsidP="00B06522">
      <w:pPr>
        <w:ind w:left="720"/>
      </w:pPr>
      <w:r>
        <w:t>This is a time series view of the data processed</w:t>
      </w:r>
      <w:r w:rsidR="00C05C3F">
        <w:t>. This table</w:t>
      </w:r>
      <w:r w:rsidR="00E57CC2">
        <w:t xml:space="preserve"> shows the raw data </w:t>
      </w:r>
      <w:r w:rsidR="00C05C3F">
        <w:t xml:space="preserve">used by the </w:t>
      </w:r>
      <w:r w:rsidR="00B06522">
        <w:t>time series graph,</w:t>
      </w:r>
      <w:r w:rsidR="00722CC1">
        <w:t xml:space="preserve"> </w:t>
      </w:r>
      <w:r w:rsidR="005D28EB">
        <w:t xml:space="preserve">aggregation </w:t>
      </w:r>
      <w:r w:rsidR="00722CC1">
        <w:t>table</w:t>
      </w:r>
      <w:r w:rsidR="00B06522">
        <w:t xml:space="preserve"> and pivot chart. </w:t>
      </w:r>
    </w:p>
    <w:p w14:paraId="463E668F" w14:textId="34BB6CFC" w:rsidR="00B65DCA" w:rsidRDefault="00D85494" w:rsidP="00B65DCA">
      <w:pPr>
        <w:pStyle w:val="Heading3"/>
      </w:pPr>
      <w:r>
        <w:t>Background Analysis</w:t>
      </w:r>
    </w:p>
    <w:p w14:paraId="37E55D12" w14:textId="40A36608" w:rsidR="00372A97" w:rsidRDefault="00372A97" w:rsidP="0094593F">
      <w:pPr>
        <w:ind w:left="720"/>
      </w:pPr>
      <w:r>
        <w:t xml:space="preserve">A simple </w:t>
      </w:r>
      <w:r w:rsidR="007A10A4">
        <w:t xml:space="preserve">pivot </w:t>
      </w:r>
      <w:proofErr w:type="gramStart"/>
      <w:r w:rsidR="007A10A4">
        <w:t>chart  showing</w:t>
      </w:r>
      <w:proofErr w:type="gramEnd"/>
      <w:r w:rsidR="007A10A4">
        <w:t xml:space="preserve"> the modal background noise level over an assessment period. </w:t>
      </w:r>
    </w:p>
    <w:p w14:paraId="60DD1DDD" w14:textId="23E07901" w:rsidR="006F21E9" w:rsidRDefault="008310AA" w:rsidP="006F21E9">
      <w:pPr>
        <w:pStyle w:val="Heading3"/>
      </w:pPr>
      <w:r>
        <w:t xml:space="preserve">Aggregated Summary Table </w:t>
      </w:r>
    </w:p>
    <w:p w14:paraId="082DDFE5" w14:textId="0DE8E4F6" w:rsidR="008310AA" w:rsidRPr="008310AA" w:rsidRDefault="008310AA" w:rsidP="008310AA">
      <w:pPr>
        <w:ind w:left="720"/>
      </w:pPr>
      <w:r>
        <w:t xml:space="preserve">A table showing the </w:t>
      </w:r>
      <w:r w:rsidR="007E096A">
        <w:t xml:space="preserve">usual aggregations for an English environmental noise assessment. </w:t>
      </w:r>
    </w:p>
    <w:p w14:paraId="6D382C19" w14:textId="77777777" w:rsidR="00EE093A" w:rsidRDefault="00EE093A" w:rsidP="00EE093A">
      <w:pPr>
        <w:pStyle w:val="Heading3"/>
      </w:pPr>
      <w:r>
        <w:lastRenderedPageBreak/>
        <w:t>Time Series Graph</w:t>
      </w:r>
    </w:p>
    <w:p w14:paraId="1F00BA3D" w14:textId="77777777" w:rsidR="00EE093A" w:rsidRDefault="00EE093A" w:rsidP="00EE093A">
      <w:pPr>
        <w:ind w:left="720"/>
      </w:pPr>
      <w:r>
        <w:t xml:space="preserve">A simple time series line chart showing the 3 main metrics over the monitoring period. </w:t>
      </w:r>
    </w:p>
    <w:p w14:paraId="55D3A920" w14:textId="231F0FD6" w:rsidR="00D85494" w:rsidRDefault="00BE105F" w:rsidP="00BE105F">
      <w:pPr>
        <w:pStyle w:val="Heading3"/>
      </w:pPr>
      <w:r>
        <w:t>Errors</w:t>
      </w:r>
    </w:p>
    <w:p w14:paraId="3FF7DD3A" w14:textId="467993C8" w:rsidR="00BE105F" w:rsidRPr="003F537C" w:rsidRDefault="00BE105F" w:rsidP="00BE105F">
      <w:pPr>
        <w:ind w:left="576"/>
        <w:rPr>
          <w:b/>
          <w:bCs/>
        </w:rPr>
      </w:pPr>
      <w:r>
        <w:t xml:space="preserve">The number of errors </w:t>
      </w:r>
      <w:proofErr w:type="gramStart"/>
      <w:r>
        <w:t>are</w:t>
      </w:r>
      <w:proofErr w:type="gramEnd"/>
      <w:r>
        <w:t xml:space="preserve"> also reported in the right-hand pane. To see an example of this Select </w:t>
      </w:r>
      <w:r w:rsidRPr="003275E1">
        <w:rPr>
          <w:b/>
          <w:bCs/>
        </w:rPr>
        <w:t>CirrusCR821A</w:t>
      </w:r>
      <w:r>
        <w:t xml:space="preserve"> format and Csv filename </w:t>
      </w:r>
      <w:r w:rsidRPr="003F537C">
        <w:rPr>
          <w:b/>
          <w:bCs/>
        </w:rPr>
        <w:t>CirrusCR821A</w:t>
      </w:r>
      <w:r w:rsidRPr="003F537C">
        <w:t>.</w:t>
      </w:r>
      <w:r>
        <w:t xml:space="preserve"> You should see 7 errors reported in </w:t>
      </w:r>
      <w:proofErr w:type="spellStart"/>
      <w:r w:rsidR="00A35D53">
        <w:rPr>
          <w:b/>
          <w:bCs/>
        </w:rPr>
        <w:t>AggregatedSummaryTable</w:t>
      </w:r>
      <w:proofErr w:type="spellEnd"/>
      <w:r>
        <w:t xml:space="preserve">. You should see 7 errors reported. </w:t>
      </w:r>
      <w:r w:rsidR="003A6118">
        <w:t>The errors occur because there were less than 10</w:t>
      </w:r>
      <w:r w:rsidR="003A6118" w:rsidRPr="00DF24B2">
        <w:rPr>
          <w:b/>
          <w:bCs/>
        </w:rPr>
        <w:t xml:space="preserve"> Lamax10</w:t>
      </w:r>
      <w:r w:rsidR="003A6118">
        <w:t xml:space="preserve"> events in </w:t>
      </w:r>
      <w:r w:rsidR="00DF24B2">
        <w:t xml:space="preserve">7 of the periods.  It is hoped that </w:t>
      </w:r>
      <w:r w:rsidR="00086F52">
        <w:t>as you increase your familiarity with Power Query you should find it relatively straightforward to diagnose</w:t>
      </w:r>
      <w:r w:rsidR="00A1124B">
        <w:t xml:space="preserve"> </w:t>
      </w:r>
      <w:r w:rsidR="00A35D53">
        <w:t xml:space="preserve">such </w:t>
      </w:r>
      <w:r w:rsidR="00A1124B">
        <w:t>errors.</w:t>
      </w:r>
    </w:p>
    <w:p w14:paraId="184F9445" w14:textId="77777777" w:rsidR="00BE105F" w:rsidRPr="00BE105F" w:rsidRDefault="00BE105F" w:rsidP="00BE105F"/>
    <w:p w14:paraId="25C791EE" w14:textId="251FF115" w:rsidR="00051781" w:rsidRDefault="00051781" w:rsidP="00051781">
      <w:pPr>
        <w:pStyle w:val="Heading1"/>
      </w:pPr>
      <w:r>
        <w:t>Under the hood</w:t>
      </w:r>
    </w:p>
    <w:p w14:paraId="57542596" w14:textId="774848D5" w:rsidR="00051781" w:rsidRDefault="00051781" w:rsidP="0094593F">
      <w:pPr>
        <w:ind w:left="432"/>
        <w:rPr>
          <w:b/>
          <w:bCs/>
        </w:rPr>
      </w:pPr>
      <w:r>
        <w:t>To understand what Power Q</w:t>
      </w:r>
      <w:r w:rsidR="00465B5F">
        <w:t>uery is doing under the hood</w:t>
      </w:r>
      <w:r w:rsidR="002A1601">
        <w:t xml:space="preserve"> go to the Power Query E</w:t>
      </w:r>
      <w:r w:rsidR="0094593F">
        <w:t xml:space="preserve">ditor </w:t>
      </w:r>
      <w:r w:rsidR="0094593F" w:rsidRPr="002F6ECE">
        <w:rPr>
          <w:b/>
          <w:bCs/>
        </w:rPr>
        <w:t>“Dat</w:t>
      </w:r>
      <w:r w:rsidR="002F6ECE" w:rsidRPr="002F6ECE">
        <w:rPr>
          <w:b/>
          <w:bCs/>
        </w:rPr>
        <w:t>a”</w:t>
      </w:r>
      <w:r w:rsidR="002F6ECE">
        <w:t xml:space="preserve"> then </w:t>
      </w:r>
      <w:r w:rsidR="002F6ECE" w:rsidRPr="002F6ECE">
        <w:rPr>
          <w:b/>
          <w:bCs/>
        </w:rPr>
        <w:t>“Get Data”</w:t>
      </w:r>
      <w:r w:rsidR="002F6ECE">
        <w:t xml:space="preserve"> then </w:t>
      </w:r>
      <w:r w:rsidR="002F6ECE" w:rsidRPr="002F6ECE">
        <w:rPr>
          <w:b/>
          <w:bCs/>
        </w:rPr>
        <w:t>“Power Query Editor”</w:t>
      </w:r>
      <w:r w:rsidR="00FB6CD1">
        <w:rPr>
          <w:b/>
          <w:bCs/>
        </w:rPr>
        <w:t xml:space="preserve">. </w:t>
      </w:r>
    </w:p>
    <w:p w14:paraId="08816CAB" w14:textId="4C0A2105" w:rsidR="00FB6CD1" w:rsidRPr="00051781" w:rsidRDefault="00FB6CD1" w:rsidP="0094593F">
      <w:pPr>
        <w:ind w:left="432"/>
      </w:pPr>
      <w:r>
        <w:t>Clic</w:t>
      </w:r>
      <w:r w:rsidR="00F91A2F">
        <w:t>k</w:t>
      </w:r>
      <w:r>
        <w:t xml:space="preserve"> on </w:t>
      </w:r>
      <w:r w:rsidRPr="00F91A2F">
        <w:rPr>
          <w:b/>
          <w:bCs/>
        </w:rPr>
        <w:t>“</w:t>
      </w:r>
      <w:r w:rsidR="006E2D75">
        <w:rPr>
          <w:b/>
          <w:bCs/>
        </w:rPr>
        <w:t>Time Series Table</w:t>
      </w:r>
      <w:r w:rsidRPr="00F91A2F">
        <w:rPr>
          <w:b/>
          <w:bCs/>
        </w:rPr>
        <w:t>”</w:t>
      </w:r>
      <w:r>
        <w:t xml:space="preserve"> </w:t>
      </w:r>
      <w:r w:rsidR="00F91A2F">
        <w:t xml:space="preserve">then </w:t>
      </w:r>
      <w:r w:rsidR="00F91A2F" w:rsidRPr="00F91A2F">
        <w:rPr>
          <w:b/>
          <w:bCs/>
        </w:rPr>
        <w:t>“View”</w:t>
      </w:r>
      <w:r w:rsidR="00F91A2F">
        <w:t xml:space="preserve"> from the top menu then make sure </w:t>
      </w:r>
      <w:r w:rsidR="00F91A2F" w:rsidRPr="00F91A2F">
        <w:rPr>
          <w:b/>
          <w:bCs/>
        </w:rPr>
        <w:t>“Query Settings”</w:t>
      </w:r>
      <w:r w:rsidR="00F91A2F">
        <w:t xml:space="preserve"> on the left of the toolbar.</w:t>
      </w:r>
      <w:r w:rsidR="002A305D">
        <w:t xml:space="preserve"> You can see a list of each Power Quer</w:t>
      </w:r>
      <w:r w:rsidR="00680C0C">
        <w:t>y</w:t>
      </w:r>
      <w:r w:rsidR="002A305D">
        <w:t xml:space="preserve"> Step that has been applied to transform</w:t>
      </w:r>
      <w:r w:rsidR="00967C06">
        <w:t xml:space="preserve"> the data into the tables you can see</w:t>
      </w:r>
      <w:r w:rsidR="008A3ED1">
        <w:t xml:space="preserve">. </w:t>
      </w:r>
      <w:proofErr w:type="gramStart"/>
      <w:r w:rsidR="008A3ED1">
        <w:t>All of</w:t>
      </w:r>
      <w:proofErr w:type="gramEnd"/>
      <w:r w:rsidR="008A3ED1">
        <w:t xml:space="preserve"> the transformations are standard ones which have </w:t>
      </w:r>
      <w:r w:rsidR="00F912D5">
        <w:t xml:space="preserve">been </w:t>
      </w:r>
      <w:r w:rsidR="008A3ED1">
        <w:t xml:space="preserve">added </w:t>
      </w:r>
      <w:r w:rsidR="00F912D5">
        <w:t xml:space="preserve">using </w:t>
      </w:r>
      <w:r w:rsidR="008A3ED1">
        <w:t xml:space="preserve">the </w:t>
      </w:r>
      <w:r w:rsidR="00F912D5">
        <w:t xml:space="preserve">UI.   You can </w:t>
      </w:r>
      <w:r w:rsidR="006A389E">
        <w:t xml:space="preserve">work these out by looking at the Power Query </w:t>
      </w:r>
      <w:r w:rsidR="00BE4B98">
        <w:t>d</w:t>
      </w:r>
      <w:r w:rsidR="0050374E">
        <w:t>ocumentation. Some of have been modified slightly to look at the parameter</w:t>
      </w:r>
      <w:r w:rsidR="00967C06">
        <w:t xml:space="preserve"> tables we have already discussed and </w:t>
      </w:r>
      <w:r w:rsidR="002A51FB">
        <w:t>there is a small amount</w:t>
      </w:r>
      <w:r w:rsidR="00DC0719">
        <w:t xml:space="preserve"> of</w:t>
      </w:r>
      <w:r w:rsidR="002A51FB">
        <w:t xml:space="preserve"> custom code. </w:t>
      </w:r>
    </w:p>
    <w:p w14:paraId="0C9CB58B" w14:textId="43365087" w:rsidR="002A51FB" w:rsidRDefault="002A51FB" w:rsidP="002A51FB">
      <w:pPr>
        <w:pStyle w:val="Heading1"/>
      </w:pPr>
      <w:r>
        <w:t xml:space="preserve">The Future </w:t>
      </w:r>
    </w:p>
    <w:p w14:paraId="7049C7F7" w14:textId="2773C73B" w:rsidR="002A51FB" w:rsidRDefault="002A51FB" w:rsidP="002A51FB">
      <w:pPr>
        <w:ind w:left="432"/>
      </w:pPr>
      <w:r>
        <w:t>I am hoping that</w:t>
      </w:r>
      <w:r w:rsidR="007F3D1E">
        <w:t xml:space="preserve"> practitioners </w:t>
      </w:r>
      <w:r>
        <w:t xml:space="preserve">will be able to use this as is but expect that </w:t>
      </w:r>
      <w:proofErr w:type="gramStart"/>
      <w:r>
        <w:t>in reality they</w:t>
      </w:r>
      <w:proofErr w:type="gramEnd"/>
      <w:r>
        <w:t xml:space="preserve"> will customise </w:t>
      </w:r>
      <w:r w:rsidR="00AD3393">
        <w:t>it</w:t>
      </w:r>
      <w:r>
        <w:t xml:space="preserve"> for their own </w:t>
      </w:r>
      <w:r w:rsidR="009B60BC">
        <w:t xml:space="preserve">purposes. It would be nice if there was some collaboration going forward </w:t>
      </w:r>
      <w:r w:rsidR="00AD3393">
        <w:t xml:space="preserve">for functionality which benefits all consultants </w:t>
      </w:r>
      <w:r w:rsidR="009B60BC">
        <w:t xml:space="preserve">and </w:t>
      </w:r>
      <w:proofErr w:type="gramStart"/>
      <w:r w:rsidR="009B60BC">
        <w:t>hence</w:t>
      </w:r>
      <w:proofErr w:type="gramEnd"/>
      <w:r w:rsidR="009B60BC">
        <w:t xml:space="preserve"> I have placed it into </w:t>
      </w:r>
      <w:proofErr w:type="spellStart"/>
      <w:r w:rsidR="009B60BC">
        <w:t>github</w:t>
      </w:r>
      <w:proofErr w:type="spellEnd"/>
      <w:r w:rsidR="009B60BC">
        <w:t xml:space="preserve"> to give it an eternal life. </w:t>
      </w:r>
      <w:r w:rsidR="00AD3393">
        <w:t xml:space="preserve">There are many </w:t>
      </w:r>
      <w:r w:rsidR="00621026">
        <w:t xml:space="preserve">mods for the future. The most useful would be to change the </w:t>
      </w:r>
      <w:r w:rsidR="00C62118">
        <w:t xml:space="preserve">functionality that relies on </w:t>
      </w:r>
      <w:r w:rsidR="00621026">
        <w:t>positional parameters for column location</w:t>
      </w:r>
      <w:r w:rsidR="00C62118">
        <w:t>s</w:t>
      </w:r>
      <w:r w:rsidR="00621026">
        <w:t xml:space="preserve"> to </w:t>
      </w:r>
      <w:r w:rsidR="00C62118">
        <w:t xml:space="preserve">parameters that can detect it by header contents. This is not easy to do given </w:t>
      </w:r>
      <w:proofErr w:type="gramStart"/>
      <w:r w:rsidR="00C62118">
        <w:t>that  there</w:t>
      </w:r>
      <w:proofErr w:type="gramEnd"/>
      <w:r w:rsidR="00C62118">
        <w:t xml:space="preserve"> may be  multiple header rows and </w:t>
      </w:r>
      <w:r w:rsidR="00E963F2">
        <w:t>for example more than one marked “</w:t>
      </w:r>
      <w:proofErr w:type="spellStart"/>
      <w:r w:rsidR="00E963F2">
        <w:t>LAeq</w:t>
      </w:r>
      <w:proofErr w:type="spellEnd"/>
      <w:r w:rsidR="00E963F2">
        <w:t xml:space="preserve">” </w:t>
      </w:r>
      <w:r w:rsidR="005A7E6C">
        <w:t>(“</w:t>
      </w:r>
      <w:proofErr w:type="spellStart"/>
      <w:r w:rsidR="005A7E6C">
        <w:t>LAeq</w:t>
      </w:r>
      <w:proofErr w:type="spellEnd"/>
      <w:r w:rsidR="005A7E6C">
        <w:t xml:space="preserve"> Overall” and </w:t>
      </w:r>
      <w:proofErr w:type="spellStart"/>
      <w:r w:rsidR="005A7E6C">
        <w:t>LAeq</w:t>
      </w:r>
      <w:proofErr w:type="spellEnd"/>
      <w:r w:rsidR="005A7E6C">
        <w:t xml:space="preserve"> 125 Hz”). A </w:t>
      </w:r>
      <w:r w:rsidR="00C85418">
        <w:t xml:space="preserve">whitelist and blacklist approach to contents is probably the way forward. </w:t>
      </w:r>
      <w:r w:rsidR="00477BDC">
        <w:t xml:space="preserve"> But it is probably doable and likely the next change when time allows. </w:t>
      </w:r>
    </w:p>
    <w:p w14:paraId="2750FEA1" w14:textId="77777777" w:rsidR="00CC1410" w:rsidRDefault="00CC1410" w:rsidP="002A51FB">
      <w:pPr>
        <w:ind w:left="432"/>
      </w:pPr>
    </w:p>
    <w:p w14:paraId="2BC66135" w14:textId="00EC2C06" w:rsidR="00CC1410" w:rsidRDefault="00CC1410" w:rsidP="006C6A76">
      <w:pPr>
        <w:pStyle w:val="Heading1"/>
      </w:pPr>
      <w:r>
        <w:t>Terms of use</w:t>
      </w:r>
    </w:p>
    <w:p w14:paraId="748BF1C3" w14:textId="098C6740" w:rsidR="00CC1410" w:rsidRDefault="00CC1410" w:rsidP="00CC1410">
      <w:pPr>
        <w:ind w:left="432"/>
      </w:pPr>
      <w:r>
        <w:t xml:space="preserve">The </w:t>
      </w:r>
      <w:proofErr w:type="gramStart"/>
      <w:r w:rsidR="006C6A76">
        <w:t xml:space="preserve">PQforNoise </w:t>
      </w:r>
      <w:r>
        <w:t xml:space="preserve"> was</w:t>
      </w:r>
      <w:proofErr w:type="gramEnd"/>
      <w:r>
        <w:t xml:space="preserve"> built by</w:t>
      </w:r>
      <w:r w:rsidR="006C6A76">
        <w:t xml:space="preserve"> Sean Sullivan of Sulltech Ltd. </w:t>
      </w:r>
    </w:p>
    <w:p w14:paraId="37C6B8EE" w14:textId="5293EE51" w:rsidR="00CC1410" w:rsidRDefault="00CC1410" w:rsidP="00CC1410">
      <w:pPr>
        <w:ind w:left="432"/>
      </w:pPr>
      <w:r>
        <w:t xml:space="preserve">Neither I nor </w:t>
      </w:r>
      <w:r w:rsidR="006C6A76">
        <w:t xml:space="preserve">Sulltech </w:t>
      </w:r>
      <w:proofErr w:type="gramStart"/>
      <w:r w:rsidR="006C6A76">
        <w:t xml:space="preserve">Ltd </w:t>
      </w:r>
      <w:r>
        <w:t xml:space="preserve"> accept</w:t>
      </w:r>
      <w:proofErr w:type="gramEnd"/>
      <w:r>
        <w:t xml:space="preserve"> any liability for </w:t>
      </w:r>
      <w:r w:rsidR="006C6A76">
        <w:t>its results</w:t>
      </w:r>
      <w:r>
        <w:t xml:space="preserve">. You use it at your own risk, and you should carry out your own checks and balances to ensure you are </w:t>
      </w:r>
      <w:proofErr w:type="spellStart"/>
      <w:r>
        <w:t>satistfied</w:t>
      </w:r>
      <w:proofErr w:type="spellEnd"/>
      <w:r>
        <w:t xml:space="preserve"> that the output is accurate.</w:t>
      </w:r>
    </w:p>
    <w:p w14:paraId="5DB15C4C" w14:textId="77777777" w:rsidR="00CC1410" w:rsidRDefault="00CC1410" w:rsidP="00CC1410">
      <w:pPr>
        <w:ind w:left="432"/>
      </w:pPr>
      <w:r>
        <w:t xml:space="preserve">This is an </w:t>
      </w:r>
      <w:proofErr w:type="gramStart"/>
      <w:r>
        <w:t>open source</w:t>
      </w:r>
      <w:proofErr w:type="gramEnd"/>
      <w:r>
        <w:t xml:space="preserve"> project, and I welcome suggestions for changes, improvements or new features. You can also write your own methods or functions and share them with me, either by getting in touch offline, or by creating a new branch from this Git repository.</w:t>
      </w:r>
    </w:p>
    <w:p w14:paraId="782EC7A4" w14:textId="77777777" w:rsidR="00CC1410" w:rsidRDefault="00CC1410" w:rsidP="00CC1410">
      <w:pPr>
        <w:ind w:left="432"/>
      </w:pPr>
      <w:r>
        <w:t xml:space="preserve">You may use this toolkit subject to the licence conditions below. For clarity, you may use this toolkit or adaptations of it in your day-to-day engineering </w:t>
      </w:r>
      <w:proofErr w:type="gramStart"/>
      <w:r>
        <w:t>work, but</w:t>
      </w:r>
      <w:proofErr w:type="gramEnd"/>
      <w:r>
        <w:t xml:space="preserve"> incorporating it into a commercial software product or service is not permitted.</w:t>
      </w:r>
    </w:p>
    <w:p w14:paraId="35ADDE55" w14:textId="77777777" w:rsidR="00CC1410" w:rsidRDefault="00CC1410" w:rsidP="00CC1410">
      <w:pPr>
        <w:ind w:left="432"/>
      </w:pPr>
      <w:r>
        <w:t xml:space="preserve">This project is being shared under a [Creative Commons CC BY-NC-SA 4.0 </w:t>
      </w:r>
      <w:proofErr w:type="gramStart"/>
      <w:r>
        <w:t>Licence](</w:t>
      </w:r>
      <w:proofErr w:type="gramEnd"/>
      <w:r>
        <w:t>https://creativecommons.org/licenses/by-nc-sa/4.0/).</w:t>
      </w:r>
    </w:p>
    <w:p w14:paraId="6A37312D" w14:textId="102A6FAC" w:rsidR="00CC1410" w:rsidRDefault="00CC1410" w:rsidP="00CC1410">
      <w:pPr>
        <w:ind w:left="432"/>
      </w:pPr>
      <w:r>
        <w:t>Attribution — You must give appropriate credit, provide a link to the license, and indicate if changes were made. You may do so in any reasonable manner, but not in any way that suggests the licensor endorses you or your use.</w:t>
      </w:r>
    </w:p>
    <w:p w14:paraId="6266846E" w14:textId="77777777" w:rsidR="00CC1410" w:rsidRDefault="00CC1410" w:rsidP="00CC1410">
      <w:pPr>
        <w:ind w:left="432"/>
      </w:pPr>
      <w:proofErr w:type="spellStart"/>
      <w:r>
        <w:t>NonCommercial</w:t>
      </w:r>
      <w:proofErr w:type="spellEnd"/>
      <w:r>
        <w:t xml:space="preserve"> — You may not use the material for commercial purposes.</w:t>
      </w:r>
    </w:p>
    <w:p w14:paraId="1EA260A2" w14:textId="11F35E2F" w:rsidR="00CC1410" w:rsidRPr="002A51FB" w:rsidRDefault="00CC1410" w:rsidP="00CC1410">
      <w:pPr>
        <w:ind w:left="432"/>
      </w:pPr>
      <w:proofErr w:type="spellStart"/>
      <w:r>
        <w:t>ShareAlike</w:t>
      </w:r>
      <w:proofErr w:type="spellEnd"/>
      <w:r>
        <w:t xml:space="preserve"> — If you remix, transform, or build upon the material, you must distribute your contributions under the same license as the original.</w:t>
      </w:r>
    </w:p>
    <w:sectPr w:rsidR="00CC1410" w:rsidRPr="002A51FB" w:rsidSect="001012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0187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8048E6"/>
    <w:multiLevelType w:val="hybridMultilevel"/>
    <w:tmpl w:val="A8321D6A"/>
    <w:lvl w:ilvl="0" w:tplc="08090001">
      <w:start w:val="1"/>
      <w:numFmt w:val="bullet"/>
      <w:lvlText w:val=""/>
      <w:lvlJc w:val="left"/>
      <w:pPr>
        <w:ind w:left="1296" w:hanging="360"/>
      </w:pPr>
      <w:rPr>
        <w:rFonts w:ascii="Symbol" w:hAnsi="Symbol"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2" w15:restartNumberingAfterBreak="0">
    <w:nsid w:val="1FCF074D"/>
    <w:multiLevelType w:val="hybridMultilevel"/>
    <w:tmpl w:val="95C2B1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CC42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FF3DFD"/>
    <w:multiLevelType w:val="hybridMultilevel"/>
    <w:tmpl w:val="A42CD0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BB826D6"/>
    <w:multiLevelType w:val="hybridMultilevel"/>
    <w:tmpl w:val="4130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C0530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D754FBA"/>
    <w:multiLevelType w:val="hybridMultilevel"/>
    <w:tmpl w:val="B0C0574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8" w15:restartNumberingAfterBreak="0">
    <w:nsid w:val="4FD328A0"/>
    <w:multiLevelType w:val="hybridMultilevel"/>
    <w:tmpl w:val="6ABAC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65E76"/>
    <w:multiLevelType w:val="hybridMultilevel"/>
    <w:tmpl w:val="3DBA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A239ED"/>
    <w:multiLevelType w:val="hybridMultilevel"/>
    <w:tmpl w:val="F878CD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7EB484E"/>
    <w:multiLevelType w:val="hybridMultilevel"/>
    <w:tmpl w:val="487AF4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3501892">
    <w:abstractNumId w:val="5"/>
  </w:num>
  <w:num w:numId="2" w16cid:durableId="1621230473">
    <w:abstractNumId w:val="9"/>
  </w:num>
  <w:num w:numId="3" w16cid:durableId="870187776">
    <w:abstractNumId w:val="8"/>
  </w:num>
  <w:num w:numId="4" w16cid:durableId="1883591039">
    <w:abstractNumId w:val="6"/>
  </w:num>
  <w:num w:numId="5" w16cid:durableId="1383672090">
    <w:abstractNumId w:val="0"/>
  </w:num>
  <w:num w:numId="6" w16cid:durableId="541869371">
    <w:abstractNumId w:val="3"/>
  </w:num>
  <w:num w:numId="7" w16cid:durableId="1389499851">
    <w:abstractNumId w:val="7"/>
  </w:num>
  <w:num w:numId="8" w16cid:durableId="1866362375">
    <w:abstractNumId w:val="1"/>
  </w:num>
  <w:num w:numId="9" w16cid:durableId="972052896">
    <w:abstractNumId w:val="2"/>
  </w:num>
  <w:num w:numId="10" w16cid:durableId="195892024">
    <w:abstractNumId w:val="11"/>
  </w:num>
  <w:num w:numId="11" w16cid:durableId="87044880">
    <w:abstractNumId w:val="4"/>
  </w:num>
  <w:num w:numId="12" w16cid:durableId="1695881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63"/>
    <w:rsid w:val="000216FB"/>
    <w:rsid w:val="00034A94"/>
    <w:rsid w:val="000366EC"/>
    <w:rsid w:val="00040C84"/>
    <w:rsid w:val="00051781"/>
    <w:rsid w:val="00052337"/>
    <w:rsid w:val="00054A7B"/>
    <w:rsid w:val="0006228D"/>
    <w:rsid w:val="0006780D"/>
    <w:rsid w:val="00083AF4"/>
    <w:rsid w:val="00086F52"/>
    <w:rsid w:val="00087563"/>
    <w:rsid w:val="00095F20"/>
    <w:rsid w:val="000B5622"/>
    <w:rsid w:val="000C60BF"/>
    <w:rsid w:val="000D1A12"/>
    <w:rsid w:val="000D2594"/>
    <w:rsid w:val="000D374B"/>
    <w:rsid w:val="000D71D2"/>
    <w:rsid w:val="000E5400"/>
    <w:rsid w:val="000E790C"/>
    <w:rsid w:val="00101263"/>
    <w:rsid w:val="001064AB"/>
    <w:rsid w:val="00107A64"/>
    <w:rsid w:val="00117FB9"/>
    <w:rsid w:val="001204FF"/>
    <w:rsid w:val="00127BFE"/>
    <w:rsid w:val="00133E2D"/>
    <w:rsid w:val="00151A7C"/>
    <w:rsid w:val="00154384"/>
    <w:rsid w:val="00162E41"/>
    <w:rsid w:val="00167EDE"/>
    <w:rsid w:val="0017677F"/>
    <w:rsid w:val="00184E41"/>
    <w:rsid w:val="001874F4"/>
    <w:rsid w:val="00193AF8"/>
    <w:rsid w:val="00196EC3"/>
    <w:rsid w:val="001A3ADA"/>
    <w:rsid w:val="001A4A6D"/>
    <w:rsid w:val="001B0633"/>
    <w:rsid w:val="001C6661"/>
    <w:rsid w:val="001D1C78"/>
    <w:rsid w:val="001D48DE"/>
    <w:rsid w:val="001F3102"/>
    <w:rsid w:val="001F7F8E"/>
    <w:rsid w:val="002002E2"/>
    <w:rsid w:val="00204DC7"/>
    <w:rsid w:val="00206FFA"/>
    <w:rsid w:val="0020792B"/>
    <w:rsid w:val="00211E19"/>
    <w:rsid w:val="00225A09"/>
    <w:rsid w:val="002261D0"/>
    <w:rsid w:val="00226F30"/>
    <w:rsid w:val="002325F4"/>
    <w:rsid w:val="00232B5E"/>
    <w:rsid w:val="00241E11"/>
    <w:rsid w:val="00242A3D"/>
    <w:rsid w:val="00253FAC"/>
    <w:rsid w:val="00254724"/>
    <w:rsid w:val="002669CD"/>
    <w:rsid w:val="00272E1F"/>
    <w:rsid w:val="0027403B"/>
    <w:rsid w:val="002920EF"/>
    <w:rsid w:val="002A1601"/>
    <w:rsid w:val="002A305D"/>
    <w:rsid w:val="002A51FB"/>
    <w:rsid w:val="002A603A"/>
    <w:rsid w:val="002C171A"/>
    <w:rsid w:val="002C658F"/>
    <w:rsid w:val="002D3C61"/>
    <w:rsid w:val="002D3F78"/>
    <w:rsid w:val="002D551E"/>
    <w:rsid w:val="002F57A4"/>
    <w:rsid w:val="002F6ECE"/>
    <w:rsid w:val="00315537"/>
    <w:rsid w:val="003275E1"/>
    <w:rsid w:val="003340F4"/>
    <w:rsid w:val="003466AD"/>
    <w:rsid w:val="003469DE"/>
    <w:rsid w:val="00351B84"/>
    <w:rsid w:val="003535EA"/>
    <w:rsid w:val="00353D1E"/>
    <w:rsid w:val="003666BD"/>
    <w:rsid w:val="003702C9"/>
    <w:rsid w:val="00372A97"/>
    <w:rsid w:val="00383C68"/>
    <w:rsid w:val="00394DEC"/>
    <w:rsid w:val="00395C37"/>
    <w:rsid w:val="003A24D2"/>
    <w:rsid w:val="003A6118"/>
    <w:rsid w:val="003A73B1"/>
    <w:rsid w:val="003A7542"/>
    <w:rsid w:val="003B1FE1"/>
    <w:rsid w:val="003B2894"/>
    <w:rsid w:val="003B36DF"/>
    <w:rsid w:val="003B656C"/>
    <w:rsid w:val="003B7C6D"/>
    <w:rsid w:val="003C63FC"/>
    <w:rsid w:val="003D3751"/>
    <w:rsid w:val="003E30B0"/>
    <w:rsid w:val="003E506B"/>
    <w:rsid w:val="003F0BB3"/>
    <w:rsid w:val="003F537C"/>
    <w:rsid w:val="004027B2"/>
    <w:rsid w:val="00415CDF"/>
    <w:rsid w:val="004244D0"/>
    <w:rsid w:val="00424731"/>
    <w:rsid w:val="00436FCF"/>
    <w:rsid w:val="00447A09"/>
    <w:rsid w:val="004544DF"/>
    <w:rsid w:val="00465B5F"/>
    <w:rsid w:val="0047773F"/>
    <w:rsid w:val="00477BDC"/>
    <w:rsid w:val="00486F62"/>
    <w:rsid w:val="00491711"/>
    <w:rsid w:val="00491B62"/>
    <w:rsid w:val="00496F15"/>
    <w:rsid w:val="004B1119"/>
    <w:rsid w:val="004B5037"/>
    <w:rsid w:val="004E0462"/>
    <w:rsid w:val="004E143F"/>
    <w:rsid w:val="004F1DFE"/>
    <w:rsid w:val="004F65A7"/>
    <w:rsid w:val="004F711D"/>
    <w:rsid w:val="0050374E"/>
    <w:rsid w:val="005062AF"/>
    <w:rsid w:val="005124CA"/>
    <w:rsid w:val="00512643"/>
    <w:rsid w:val="00531845"/>
    <w:rsid w:val="005323AB"/>
    <w:rsid w:val="005426B2"/>
    <w:rsid w:val="0054371B"/>
    <w:rsid w:val="005619D3"/>
    <w:rsid w:val="005654B9"/>
    <w:rsid w:val="0057797C"/>
    <w:rsid w:val="0059171F"/>
    <w:rsid w:val="00596C70"/>
    <w:rsid w:val="005A11D3"/>
    <w:rsid w:val="005A7E6C"/>
    <w:rsid w:val="005C088C"/>
    <w:rsid w:val="005D28EB"/>
    <w:rsid w:val="005E1513"/>
    <w:rsid w:val="005E36FE"/>
    <w:rsid w:val="005E3975"/>
    <w:rsid w:val="005E7FCE"/>
    <w:rsid w:val="00621026"/>
    <w:rsid w:val="006248D2"/>
    <w:rsid w:val="006678A9"/>
    <w:rsid w:val="00674652"/>
    <w:rsid w:val="006760F3"/>
    <w:rsid w:val="00680C0C"/>
    <w:rsid w:val="00683DB2"/>
    <w:rsid w:val="00695A20"/>
    <w:rsid w:val="0069653F"/>
    <w:rsid w:val="006A389E"/>
    <w:rsid w:val="006B517C"/>
    <w:rsid w:val="006C496E"/>
    <w:rsid w:val="006C6A76"/>
    <w:rsid w:val="006E08F7"/>
    <w:rsid w:val="006E2D75"/>
    <w:rsid w:val="006F0B2D"/>
    <w:rsid w:val="006F21E9"/>
    <w:rsid w:val="006F61CB"/>
    <w:rsid w:val="007018C4"/>
    <w:rsid w:val="00707BD4"/>
    <w:rsid w:val="00722CC1"/>
    <w:rsid w:val="00725998"/>
    <w:rsid w:val="00725E4C"/>
    <w:rsid w:val="00734B1F"/>
    <w:rsid w:val="00751A5E"/>
    <w:rsid w:val="00754387"/>
    <w:rsid w:val="00763FAC"/>
    <w:rsid w:val="0078013E"/>
    <w:rsid w:val="0078322B"/>
    <w:rsid w:val="00783F19"/>
    <w:rsid w:val="007A10A4"/>
    <w:rsid w:val="007B40FA"/>
    <w:rsid w:val="007D74D6"/>
    <w:rsid w:val="007E096A"/>
    <w:rsid w:val="007E3CE2"/>
    <w:rsid w:val="007E58F8"/>
    <w:rsid w:val="007E678D"/>
    <w:rsid w:val="007E7BA8"/>
    <w:rsid w:val="007F3D1E"/>
    <w:rsid w:val="00812249"/>
    <w:rsid w:val="008132E1"/>
    <w:rsid w:val="00814F31"/>
    <w:rsid w:val="00823E79"/>
    <w:rsid w:val="008310AA"/>
    <w:rsid w:val="00834DD3"/>
    <w:rsid w:val="008354F8"/>
    <w:rsid w:val="00840921"/>
    <w:rsid w:val="008513FE"/>
    <w:rsid w:val="00862DAE"/>
    <w:rsid w:val="00865F29"/>
    <w:rsid w:val="0086625D"/>
    <w:rsid w:val="00886E99"/>
    <w:rsid w:val="008A3ED1"/>
    <w:rsid w:val="008A608A"/>
    <w:rsid w:val="008C2C74"/>
    <w:rsid w:val="008C486B"/>
    <w:rsid w:val="008D0BB5"/>
    <w:rsid w:val="008D654F"/>
    <w:rsid w:val="008D68E9"/>
    <w:rsid w:val="00904DDC"/>
    <w:rsid w:val="00911546"/>
    <w:rsid w:val="00917C46"/>
    <w:rsid w:val="0092521D"/>
    <w:rsid w:val="00926C7C"/>
    <w:rsid w:val="00926EA4"/>
    <w:rsid w:val="009361DF"/>
    <w:rsid w:val="0094593F"/>
    <w:rsid w:val="00945E18"/>
    <w:rsid w:val="00946A9E"/>
    <w:rsid w:val="00956C1B"/>
    <w:rsid w:val="00957733"/>
    <w:rsid w:val="0096167D"/>
    <w:rsid w:val="00967C06"/>
    <w:rsid w:val="009723CF"/>
    <w:rsid w:val="00972423"/>
    <w:rsid w:val="009775EA"/>
    <w:rsid w:val="0098300F"/>
    <w:rsid w:val="00985A2B"/>
    <w:rsid w:val="00990864"/>
    <w:rsid w:val="0099761C"/>
    <w:rsid w:val="009B4443"/>
    <w:rsid w:val="009B60BC"/>
    <w:rsid w:val="009B7A01"/>
    <w:rsid w:val="009D0924"/>
    <w:rsid w:val="009E39D0"/>
    <w:rsid w:val="009F0935"/>
    <w:rsid w:val="009F125F"/>
    <w:rsid w:val="009F1BF3"/>
    <w:rsid w:val="009F1E04"/>
    <w:rsid w:val="009F4B08"/>
    <w:rsid w:val="009F6CD7"/>
    <w:rsid w:val="00A1124B"/>
    <w:rsid w:val="00A11810"/>
    <w:rsid w:val="00A16CEC"/>
    <w:rsid w:val="00A2271A"/>
    <w:rsid w:val="00A260F8"/>
    <w:rsid w:val="00A3050E"/>
    <w:rsid w:val="00A35D53"/>
    <w:rsid w:val="00A50345"/>
    <w:rsid w:val="00A50C65"/>
    <w:rsid w:val="00A56C2A"/>
    <w:rsid w:val="00A61646"/>
    <w:rsid w:val="00A636BA"/>
    <w:rsid w:val="00A72544"/>
    <w:rsid w:val="00A86B19"/>
    <w:rsid w:val="00A937DE"/>
    <w:rsid w:val="00A9403E"/>
    <w:rsid w:val="00A967B0"/>
    <w:rsid w:val="00A9688D"/>
    <w:rsid w:val="00AA1F8C"/>
    <w:rsid w:val="00AB063D"/>
    <w:rsid w:val="00AB4053"/>
    <w:rsid w:val="00AD3393"/>
    <w:rsid w:val="00AE2231"/>
    <w:rsid w:val="00AE41A2"/>
    <w:rsid w:val="00AE470E"/>
    <w:rsid w:val="00B06522"/>
    <w:rsid w:val="00B1234C"/>
    <w:rsid w:val="00B13DCA"/>
    <w:rsid w:val="00B145B5"/>
    <w:rsid w:val="00B14CA2"/>
    <w:rsid w:val="00B15BEC"/>
    <w:rsid w:val="00B307D6"/>
    <w:rsid w:val="00B36F25"/>
    <w:rsid w:val="00B40720"/>
    <w:rsid w:val="00B45247"/>
    <w:rsid w:val="00B476BB"/>
    <w:rsid w:val="00B56DB8"/>
    <w:rsid w:val="00B64DAE"/>
    <w:rsid w:val="00B65DCA"/>
    <w:rsid w:val="00B67F44"/>
    <w:rsid w:val="00B7501C"/>
    <w:rsid w:val="00B8157C"/>
    <w:rsid w:val="00B86517"/>
    <w:rsid w:val="00B86A65"/>
    <w:rsid w:val="00B9003E"/>
    <w:rsid w:val="00B9387F"/>
    <w:rsid w:val="00BA0626"/>
    <w:rsid w:val="00BA5448"/>
    <w:rsid w:val="00BA7DE6"/>
    <w:rsid w:val="00BD0608"/>
    <w:rsid w:val="00BE105F"/>
    <w:rsid w:val="00BE4B98"/>
    <w:rsid w:val="00C01879"/>
    <w:rsid w:val="00C05C3F"/>
    <w:rsid w:val="00C118B0"/>
    <w:rsid w:val="00C203A5"/>
    <w:rsid w:val="00C2162D"/>
    <w:rsid w:val="00C30807"/>
    <w:rsid w:val="00C30A90"/>
    <w:rsid w:val="00C3674B"/>
    <w:rsid w:val="00C37FA9"/>
    <w:rsid w:val="00C44731"/>
    <w:rsid w:val="00C62118"/>
    <w:rsid w:val="00C74B82"/>
    <w:rsid w:val="00C82605"/>
    <w:rsid w:val="00C85418"/>
    <w:rsid w:val="00C8634F"/>
    <w:rsid w:val="00C94281"/>
    <w:rsid w:val="00CA02F6"/>
    <w:rsid w:val="00CA74F5"/>
    <w:rsid w:val="00CB0586"/>
    <w:rsid w:val="00CB5459"/>
    <w:rsid w:val="00CC1410"/>
    <w:rsid w:val="00CC6E96"/>
    <w:rsid w:val="00CE1954"/>
    <w:rsid w:val="00CF1D63"/>
    <w:rsid w:val="00CF450E"/>
    <w:rsid w:val="00CF78B8"/>
    <w:rsid w:val="00D00EDD"/>
    <w:rsid w:val="00D01CC2"/>
    <w:rsid w:val="00D132CC"/>
    <w:rsid w:val="00D14BF0"/>
    <w:rsid w:val="00D17B78"/>
    <w:rsid w:val="00D268A4"/>
    <w:rsid w:val="00D30D3D"/>
    <w:rsid w:val="00D34289"/>
    <w:rsid w:val="00D36395"/>
    <w:rsid w:val="00D537D3"/>
    <w:rsid w:val="00D705B4"/>
    <w:rsid w:val="00D84953"/>
    <w:rsid w:val="00D85419"/>
    <w:rsid w:val="00D85494"/>
    <w:rsid w:val="00D93F7A"/>
    <w:rsid w:val="00D9781C"/>
    <w:rsid w:val="00DA2419"/>
    <w:rsid w:val="00DA7F24"/>
    <w:rsid w:val="00DB2608"/>
    <w:rsid w:val="00DB42E7"/>
    <w:rsid w:val="00DB4C65"/>
    <w:rsid w:val="00DB7A38"/>
    <w:rsid w:val="00DC0719"/>
    <w:rsid w:val="00DC4269"/>
    <w:rsid w:val="00DC64CA"/>
    <w:rsid w:val="00DE2FD5"/>
    <w:rsid w:val="00DF24B2"/>
    <w:rsid w:val="00DF285A"/>
    <w:rsid w:val="00DF5538"/>
    <w:rsid w:val="00E049CF"/>
    <w:rsid w:val="00E07134"/>
    <w:rsid w:val="00E267C2"/>
    <w:rsid w:val="00E27146"/>
    <w:rsid w:val="00E314CE"/>
    <w:rsid w:val="00E44E29"/>
    <w:rsid w:val="00E55040"/>
    <w:rsid w:val="00E57CC2"/>
    <w:rsid w:val="00E60231"/>
    <w:rsid w:val="00E61DEE"/>
    <w:rsid w:val="00E83631"/>
    <w:rsid w:val="00E84755"/>
    <w:rsid w:val="00E963F2"/>
    <w:rsid w:val="00EA11D5"/>
    <w:rsid w:val="00EB2478"/>
    <w:rsid w:val="00EB7B18"/>
    <w:rsid w:val="00EC6F6E"/>
    <w:rsid w:val="00EE093A"/>
    <w:rsid w:val="00EF5164"/>
    <w:rsid w:val="00EF6D9D"/>
    <w:rsid w:val="00F2099E"/>
    <w:rsid w:val="00F212A3"/>
    <w:rsid w:val="00F2507C"/>
    <w:rsid w:val="00F31C19"/>
    <w:rsid w:val="00F330E2"/>
    <w:rsid w:val="00F42B6D"/>
    <w:rsid w:val="00F52C4E"/>
    <w:rsid w:val="00F53D27"/>
    <w:rsid w:val="00F57060"/>
    <w:rsid w:val="00F71D0E"/>
    <w:rsid w:val="00F87150"/>
    <w:rsid w:val="00F912D5"/>
    <w:rsid w:val="00F91456"/>
    <w:rsid w:val="00F919DD"/>
    <w:rsid w:val="00F91A2F"/>
    <w:rsid w:val="00F963BC"/>
    <w:rsid w:val="00FB196A"/>
    <w:rsid w:val="00FB1E89"/>
    <w:rsid w:val="00FB2301"/>
    <w:rsid w:val="00FB27DE"/>
    <w:rsid w:val="00FB3901"/>
    <w:rsid w:val="00FB6CD1"/>
    <w:rsid w:val="00FC0058"/>
    <w:rsid w:val="00FD4ECD"/>
    <w:rsid w:val="00FE7958"/>
    <w:rsid w:val="00FF18A2"/>
    <w:rsid w:val="00FF6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8441"/>
  <w15:chartTrackingRefBased/>
  <w15:docId w15:val="{9DB00036-19BC-4F30-942C-9B64491D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263"/>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263"/>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263"/>
    <w:pPr>
      <w:keepNext/>
      <w:keepLines/>
      <w:numPr>
        <w:ilvl w:val="2"/>
        <w:numId w:val="6"/>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263"/>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263"/>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263"/>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263"/>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263"/>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263"/>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263"/>
    <w:rPr>
      <w:rFonts w:eastAsiaTheme="majorEastAsia" w:cstheme="majorBidi"/>
      <w:color w:val="272727" w:themeColor="text1" w:themeTint="D8"/>
    </w:rPr>
  </w:style>
  <w:style w:type="paragraph" w:styleId="Title">
    <w:name w:val="Title"/>
    <w:basedOn w:val="Normal"/>
    <w:next w:val="Normal"/>
    <w:link w:val="TitleChar"/>
    <w:uiPriority w:val="10"/>
    <w:qFormat/>
    <w:rsid w:val="0010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263"/>
    <w:pPr>
      <w:spacing w:before="160"/>
      <w:jc w:val="center"/>
    </w:pPr>
    <w:rPr>
      <w:i/>
      <w:iCs/>
      <w:color w:val="404040" w:themeColor="text1" w:themeTint="BF"/>
    </w:rPr>
  </w:style>
  <w:style w:type="character" w:customStyle="1" w:styleId="QuoteChar">
    <w:name w:val="Quote Char"/>
    <w:basedOn w:val="DefaultParagraphFont"/>
    <w:link w:val="Quote"/>
    <w:uiPriority w:val="29"/>
    <w:rsid w:val="00101263"/>
    <w:rPr>
      <w:i/>
      <w:iCs/>
      <w:color w:val="404040" w:themeColor="text1" w:themeTint="BF"/>
    </w:rPr>
  </w:style>
  <w:style w:type="paragraph" w:styleId="ListParagraph">
    <w:name w:val="List Paragraph"/>
    <w:basedOn w:val="Normal"/>
    <w:uiPriority w:val="34"/>
    <w:qFormat/>
    <w:rsid w:val="00101263"/>
    <w:pPr>
      <w:ind w:left="720"/>
      <w:contextualSpacing/>
    </w:pPr>
  </w:style>
  <w:style w:type="character" w:styleId="IntenseEmphasis">
    <w:name w:val="Intense Emphasis"/>
    <w:basedOn w:val="DefaultParagraphFont"/>
    <w:uiPriority w:val="21"/>
    <w:qFormat/>
    <w:rsid w:val="00101263"/>
    <w:rPr>
      <w:i/>
      <w:iCs/>
      <w:color w:val="0F4761" w:themeColor="accent1" w:themeShade="BF"/>
    </w:rPr>
  </w:style>
  <w:style w:type="paragraph" w:styleId="IntenseQuote">
    <w:name w:val="Intense Quote"/>
    <w:basedOn w:val="Normal"/>
    <w:next w:val="Normal"/>
    <w:link w:val="IntenseQuoteChar"/>
    <w:uiPriority w:val="30"/>
    <w:qFormat/>
    <w:rsid w:val="0010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263"/>
    <w:rPr>
      <w:i/>
      <w:iCs/>
      <w:color w:val="0F4761" w:themeColor="accent1" w:themeShade="BF"/>
    </w:rPr>
  </w:style>
  <w:style w:type="character" w:styleId="IntenseReference">
    <w:name w:val="Intense Reference"/>
    <w:basedOn w:val="DefaultParagraphFont"/>
    <w:uiPriority w:val="32"/>
    <w:qFormat/>
    <w:rsid w:val="00101263"/>
    <w:rPr>
      <w:b/>
      <w:bCs/>
      <w:smallCaps/>
      <w:color w:val="0F4761" w:themeColor="accent1" w:themeShade="BF"/>
      <w:spacing w:val="5"/>
    </w:rPr>
  </w:style>
  <w:style w:type="table" w:styleId="TableGrid">
    <w:name w:val="Table Grid"/>
    <w:basedOn w:val="TableNormal"/>
    <w:uiPriority w:val="39"/>
    <w:rsid w:val="00725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14C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31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27145">
      <w:bodyDiv w:val="1"/>
      <w:marLeft w:val="0"/>
      <w:marRight w:val="0"/>
      <w:marTop w:val="0"/>
      <w:marBottom w:val="0"/>
      <w:divBdr>
        <w:top w:val="none" w:sz="0" w:space="0" w:color="auto"/>
        <w:left w:val="none" w:sz="0" w:space="0" w:color="auto"/>
        <w:bottom w:val="none" w:sz="0" w:space="0" w:color="auto"/>
        <w:right w:val="none" w:sz="0" w:space="0" w:color="auto"/>
      </w:divBdr>
    </w:div>
    <w:div w:id="219826062">
      <w:bodyDiv w:val="1"/>
      <w:marLeft w:val="0"/>
      <w:marRight w:val="0"/>
      <w:marTop w:val="0"/>
      <w:marBottom w:val="0"/>
      <w:divBdr>
        <w:top w:val="none" w:sz="0" w:space="0" w:color="auto"/>
        <w:left w:val="none" w:sz="0" w:space="0" w:color="auto"/>
        <w:bottom w:val="none" w:sz="0" w:space="0" w:color="auto"/>
        <w:right w:val="none" w:sz="0" w:space="0" w:color="auto"/>
      </w:divBdr>
    </w:div>
    <w:div w:id="286859966">
      <w:bodyDiv w:val="1"/>
      <w:marLeft w:val="0"/>
      <w:marRight w:val="0"/>
      <w:marTop w:val="0"/>
      <w:marBottom w:val="0"/>
      <w:divBdr>
        <w:top w:val="none" w:sz="0" w:space="0" w:color="auto"/>
        <w:left w:val="none" w:sz="0" w:space="0" w:color="auto"/>
        <w:bottom w:val="none" w:sz="0" w:space="0" w:color="auto"/>
        <w:right w:val="none" w:sz="0" w:space="0" w:color="auto"/>
      </w:divBdr>
    </w:div>
    <w:div w:id="477890464">
      <w:bodyDiv w:val="1"/>
      <w:marLeft w:val="0"/>
      <w:marRight w:val="0"/>
      <w:marTop w:val="0"/>
      <w:marBottom w:val="0"/>
      <w:divBdr>
        <w:top w:val="none" w:sz="0" w:space="0" w:color="auto"/>
        <w:left w:val="none" w:sz="0" w:space="0" w:color="auto"/>
        <w:bottom w:val="none" w:sz="0" w:space="0" w:color="auto"/>
        <w:right w:val="none" w:sz="0" w:space="0" w:color="auto"/>
      </w:divBdr>
    </w:div>
    <w:div w:id="670454317">
      <w:bodyDiv w:val="1"/>
      <w:marLeft w:val="0"/>
      <w:marRight w:val="0"/>
      <w:marTop w:val="0"/>
      <w:marBottom w:val="0"/>
      <w:divBdr>
        <w:top w:val="none" w:sz="0" w:space="0" w:color="auto"/>
        <w:left w:val="none" w:sz="0" w:space="0" w:color="auto"/>
        <w:bottom w:val="none" w:sz="0" w:space="0" w:color="auto"/>
        <w:right w:val="none" w:sz="0" w:space="0" w:color="auto"/>
      </w:divBdr>
    </w:div>
    <w:div w:id="11591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Sullivan</dc:creator>
  <cp:keywords/>
  <dc:description/>
  <cp:lastModifiedBy>Sean Sullivan</cp:lastModifiedBy>
  <cp:revision>53</cp:revision>
  <dcterms:created xsi:type="dcterms:W3CDTF">2025-03-21T09:30:00Z</dcterms:created>
  <dcterms:modified xsi:type="dcterms:W3CDTF">2025-03-28T11:21:00Z</dcterms:modified>
</cp:coreProperties>
</file>