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1F4E79"/>
          <w:sz w:val="72"/>
          <w:szCs w:val="72"/>
        </w:rPr>
        <w:t xml:space="preserve">SSR Engine</w:t>
      </w:r>
    </w:p>
    <w:p>
      <w:pPr>
        <w:spacing w:after="240"/>
      </w:pPr>
      <w:r>
        <w:rPr>
          <w:color w:val="5A5A5A"/>
          <w:sz w:val="40"/>
          <w:szCs w:val="40"/>
        </w:rPr>
        <w:t xml:space="preserve">Architecture Overview</w:t>
      </w:r>
    </w:p>
    <w:p>
      <w:pPr>
        <w:pBdr>
          <w:bottom w:val="single" w:color="C9D3DD" w:sz="6"/>
        </w:pBdr>
        <w:spacing w:after="160" w:before="60"/>
      </w:pPr>
      <w:r>
        <w:t xml:space="preserve"/>
      </w:r>
    </w:p>
    <w:p>
      <w:pPr>
        <w:spacing w:after="200" w:line="276"/>
      </w:pPr>
      <w:r>
        <w:rPr>
          <w:sz w:val="22"/>
          <w:szCs w:val="22"/>
        </w:rPr>
        <w:t xml:space="preserve">A domain-agnostic message-testing platform. Synthetic respondent panels react to candidate claims; the engine scores those reactions geometrically, ranks the claims, and produces a narrative report behind two human approval gates.</w:t>
      </w:r>
    </w:p>
    <w:p>
      <w:pPr>
        <w:spacing w:after="120" w:line="276"/>
      </w:pPr>
      <w:r>
        <w:rPr>
          <w:color w:val="5A5A5A"/>
          <w:sz w:val="19"/>
          <w:szCs w:val="19"/>
        </w:rPr>
        <w:t xml:space="preserve">Digital Twin monorepo  ·  apps/api (FastAPI)  ·  apps/engine (Temporal)  ·  Postgres</w:t>
      </w:r>
    </w:p>
    <w:p>
      <w:pPr>
        <w:spacing w:before="3200"/>
      </w:pPr>
      <w:r>
        <w:rPr>
          <w:i/>
          <w:iCs/>
          <w:color w:val="5A5A5A"/>
          <w:sz w:val="18"/>
          <w:szCs w:val="18"/>
        </w:rPr>
        <w:t xml:space="preserve">Generated from the working system — every figure in this document was measured on a real run.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1. What the system does</w:t>
      </w:r>
    </w:p>
    <w:p>
      <w:pPr>
        <w:spacing w:after="120" w:line="276"/>
      </w:pPr>
      <w:r>
        <w:t xml:space="preserve">An operator defines a study: a Key Belief Question, a set of candidate claims, a panel of AI personas ("avatars"), and five anchor sentences that define a 1–5 scale. The engine asks every respondent to react to every claim in natural language, then converts each free-text reaction into a score by measuring where it lands in embedding space relative to those anchors.</w:t>
      </w:r>
    </w:p>
    <w:p>
      <w:pPr>
        <w:spacing w:after="120" w:line="276"/>
      </w:pPr>
      <w:r>
        <w:t xml:space="preserve">The model is never asked for a number. That is the central design decision: scoring is a geometric property of the reaction, not a rating the LLM was prompted to produce.</w:t>
      </w:r>
    </w:p>
    <w:p>
      <w:pPr>
        <w:pStyle w:val="Heading2"/>
        <w:spacing w:after="140" w:before="280"/>
      </w:pPr>
      <w:r>
        <w:rPr>
          <w:b/>
          <w:bCs/>
          <w:color w:val="1F4E79"/>
        </w:rPr>
        <w:t xml:space="preserve">The counting model</w:t>
      </w:r>
    </w:p>
    <w:p>
      <w:pPr>
        <w:spacing w:after="120" w:line="276"/>
      </w:pPr>
      <w:r>
        <w:t xml:space="preserve">An avatar is a persona — an archetype within a domain, such as "Academic Oncologist" — not a single person. A study panels N respondents of each persona: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avatars (personas)  x  respondents_per_avatar  =  respondents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respondents         x  claims                  =  reactions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4           x           5              =      20</w:t>
      </w:r>
    </w:p>
    <w:p>
      <w:pPr>
        <w:shd w:fill="F4F6F8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         20           x           5              =     100</w:t>
      </w:r>
    </w:p>
    <w:p>
      <w:pPr>
        <w:spacing w:after="120" w:line="276"/>
      </w:pPr>
      <w:r>
        <w:t xml:space="preserve">Each (avatar, respondent) pair is an independent judge in the Bradley-Terry ranking, so a larger panel means more pairwise comparisons and a tighter result — at linearly more cost.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2. Components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00"/>
      </w:tblGrid>
      <w:tr>
        <w:trPr>
          <w:tblHeader/>
        </w:trPr>
        <w:tc>
          <w:tcPr>
            <w:tcW w:type="dxa" w:w="17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9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57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+ SQLAlchemy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Owns every run status before 'running'. Builds the config snapshot, enforces both gates, starts and signals the workflow, serves results. Never does pipeline work.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 server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Durable orchestration: workflow history, activity dispatch, retries, timers, and the Gate 2 wait.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apps/engine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 worker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Owns every run status from 'running' onward. All LLM, embedding and result-writing work.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 + pgvector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core.* (configuration) and runs.* (execution and results).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Chat completions: one per reaction, plus two for the report.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 service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to vectors. A hard dependency — nothing scores without it.</w:t>
            </w:r>
          </w:p>
        </w:tc>
      </w:tr>
    </w:tbl>
    <w:p>
      <w:pPr>
        <w:spacing w:after="60" w:line="276"/>
      </w:pPr>
      <w:r>
        <w:t xml:space="preserve"> </w:t>
      </w:r>
    </w:p>
    <w:p>
      <w:pPr>
        <w:spacing w:after="120" w:line="276"/>
      </w:pPr>
      <w:r>
        <w:rPr>
          <w:i/>
          <w:iCs/>
          <w:color w:val="5A5A5A"/>
          <w:sz w:val="19"/>
          <w:szCs w:val="19"/>
        </w:rPr>
        <w:t xml:space="preserve">Ownership rule: the API writes draft → estimated → approved → queued. The workflow writes everything from running onward, through a single update_run_status activity. That is why POST /finalize returns 202 with the old status still in the body.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3. End-to-end flow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(1) INPUT      Domain, Study (KBQ), Claims, Anchors, Avatars,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Respondents per avatar, Penalties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|  seed SQL today / POST /studies/{id}/runs once the UI lands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(2) SNAPSHOT   runs.runs.config_snapshot  (jsonb, frozen)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(3) GATE 1     POST /runs/{id}/approve      &lt;- authorise the spend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(4) HANDOFF    POST /runs/{id}/start  -&gt;  Temporal  (study-run-&lt;run_id&gt;)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(5) READ       fetch_study_context  -- SELECT config_snapshot WHERE id = run_id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+ persona prompts from avatar_prompts.txt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(6) ANCHORS    embed_batch  -- once for the whole run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(7) BATCH LOOP generate -&gt; embed -&gt; score -&gt; penalise -&gt; persist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(repeats; continue_as_new keeps history bounded)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(8) STORE      runs.run_reactions            one row per reaction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(9) RANK       rollup_message_results  -- Bradley-Terry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(10) STORE      runs.run_message_results      the result record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(11) GATE 2     awaiting_review  &lt;- THE WORKFLOW BLOCKS HERE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|                    | 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finalize              cancel             timeout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v                    v                   v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(12) REPORT     generate_run_report   cancelled           expired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v                (no report)         (no report)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(13) STORE      runs.run_reports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v</w:t>
      </w:r>
    </w:p>
    <w:p>
      <w:pPr>
        <w:shd w:fill="F4F6F8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 (14) DONE       status = finalized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4. The two human gates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900"/>
        <w:gridCol w:w="3700"/>
      </w:tblGrid>
      <w:tr>
        <w:trPr>
          <w:tblHeader/>
        </w:trPr>
        <w:tc>
          <w:tcPr>
            <w:tcW w:type="dxa" w:w="9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9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37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/runs/{id}/approve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start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Authorise the spend. Pure API transition — no workflow exists yet.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/runs/{id}/finalize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 awaiting_review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the results. Signals the workflow, which then generates the report and finalizes.</w:t>
            </w:r>
          </w:p>
        </w:tc>
      </w:tr>
    </w:tbl>
    <w:p>
      <w:pPr>
        <w:spacing w:after="60" w:line="276"/>
      </w:pPr>
      <w:r>
        <w:t xml:space="preserve"> </w:t>
      </w:r>
    </w:p>
    <w:p>
      <w:pPr>
        <w:spacing w:after="120" w:line="276"/>
      </w:pPr>
      <w:r>
        <w:t xml:space="preserve">Rejecting is POST /runs/{id}/cancel from awaiting_review. The ranking stays in the database and remains readable; the narrative report is simply never generated, so a rejection costs zero LLM calls.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5. Where results are stored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2100"/>
        <w:gridCol w:w="1400"/>
      </w:tblGrid>
      <w:tr>
        <w:trPr>
          <w:tblHeader/>
        </w:trPr>
        <w:tc>
          <w:tcPr>
            <w:tcW w:type="dxa" w:w="23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1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Written by</w:t>
            </w:r>
          </w:p>
        </w:tc>
        <w:tc>
          <w:tcPr>
            <w:tcW w:type="dxa" w:w="14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Survives rejection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runs.runs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status, config_snapshot, estimate, coverage_pct, workflow_id, error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then update_run_status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runs.run_reactions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row per (persona, respondent, claim): reaction text, score, probability distribution, penalty, ok/failed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persist_reactions, after each batch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runs.run_message_results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row per claim: rank, Bradley-Terry strength, aggregate score, recommendation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rollup_message_results, before the gate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runs.run_reports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Six-section markdown, baseline lift, cohort breakdown, penalty hits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generate_run_report, only after approval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never written</w:t>
            </w:r>
          </w:p>
        </w:tc>
      </w:tr>
    </w:tbl>
    <w:p>
      <w:pPr>
        <w:spacing w:after="60" w:line="276"/>
      </w:pPr>
      <w:r>
        <w:t xml:space="preserve"> </w:t>
      </w:r>
    </w:p>
    <w:p>
      <w:pPr>
        <w:spacing w:after="120" w:line="276"/>
      </w:pPr>
      <w:r>
        <w:rPr>
          <w:i/>
          <w:iCs/>
          <w:color w:val="5A5A5A"/>
          <w:sz w:val="19"/>
          <w:szCs w:val="19"/>
        </w:rPr>
        <w:t xml:space="preserve">Nothing derivable is stored twice. The predicted winner, margin, reaction counts and score statistics are all queries over the two result tables rather than a duplicated summary column.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6. Scoring</w:t>
      </w:r>
    </w:p>
    <w:p>
      <w:pPr>
        <w:spacing w:after="120" w:line="276"/>
      </w:pPr>
      <w:r>
        <w:t xml:space="preserve">Each reaction is embedded and compared against the anchor vectors: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1. similarity   cosine(reaction, anchor_i)  for each of the 5 anchors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2. shift        s_i - min(s) + delta        amplifies small differences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3. normalise    p_i = a_i / sum(a)          a probability distribution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4. expected     score = sum(scale_point_i * p_i)</w:t>
      </w:r>
    </w:p>
    <w:p>
      <w:pPr>
        <w:shd w:fill="F4F6F8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  5. penalties    + adjustment for each trigger phrase found in the text</w:t>
      </w:r>
    </w:p>
    <w:p>
      <w:pPr>
        <w:spacing w:after="120" w:line="276"/>
      </w:pPr>
      <w:r>
        <w:t xml:space="preserve">Step 2 is the one that matters. Cosine similarities between sentence embeddings cluster tightly — often all between 0.6 and 0.9 — so without re-basing the lowest anchor the distribution is nearly uniform and every claim scores about 3.0.</w:t>
      </w:r>
    </w:p>
    <w:p>
      <w:pPr>
        <w:spacing w:after="120" w:line="276"/>
      </w:pPr>
      <w:r>
        <w:rPr>
          <w:b/>
          <w:bCs/>
        </w:rPr>
        <w:t xml:space="preserve">Scale direction is load-bearing: scale point 1 is the MOST compelling anchor, so a LOWER score is a BETTER claim. The Bradley-Terry rollup treats the lower score as the pairwise winner. Reversing the anchors inverts every ranking with no error.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7. Operating at scale</w:t>
      </w:r>
    </w:p>
    <w:p>
      <w:pPr>
        <w:spacing w:after="120" w:line="276"/>
      </w:pPr>
      <w:r>
        <w:t xml:space="preserve">Three properties make a large panel safe in production: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Constant-size workflow state. The cross product is never materialised. The workflow carries avatar ids, claims and a cursor; each batch is expanded on demand. A 15,000-reaction run carries the same ~1.4 KB of Temporal payload as a 100-reaction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Per-reaction failure isolation. A single failed LLM call is stored with status='failed' and excluded from the ranking; the other reactions in the batch are kept. Only a systemic failure — more than half a batch — raises, so Temporal's retry covers the case actually worth retrying.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Bounded history. continue_as_new starts a fresh Temporal history every max_batches_per_run batches, carrying only the cursor. Completed activities are never re-executed.</w:t>
      </w:r>
    </w:p>
    <w:p>
      <w:pPr>
        <w:spacing w:after="40" w:line="276"/>
      </w:pPr>
      <w:r>
        <w:t xml:space="preserve"> </w:t>
      </w:r>
    </w:p>
    <w:p>
      <w:pPr>
        <w:spacing w:after="120" w:line="276"/>
      </w:pPr>
      <w:r>
        <w:t xml:space="preserve">Tuning knobs — none of the panel sizing is hardcoded: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1200"/>
        <w:gridCol w:w="3200"/>
      </w:tblGrid>
      <w:tr>
        <w:trPr>
          <w:tblHeader/>
        </w:trPr>
        <w:tc>
          <w:tcPr>
            <w:tcW w:type="dxa" w:w="33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22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12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respondents_per_avatar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config_snapshot, per run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size. Linear cost and runtime.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batch_size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input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Reactions per batch.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max_batches_per_run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input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Batches before a history hop.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APP_REACTION_CONCURRENCY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 .env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Parallel LLM calls. Lower if rate-limited.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APP_EMBEDDING_MAX_REQUEST_BYTES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 .env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 service returns 500 past ~25 KB.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APP_EMBEDDING_BATCH_SIZE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 .env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Upper bound on texts per request.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8. Reliability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Failure</w:t>
            </w:r>
          </w:p>
        </w:tc>
        <w:tc>
          <w:tcPr>
            <w:tcW w:type="dxa" w:w="61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 or LLM endpoint transient error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retries five times with exponential backoff; transparent if it recovers.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 single reaction fails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Stored as status='failed', excluded from the ranking; the batch continues.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 killed mid-run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 replays the workflow on another worker. Completed activities are not re-executed; persist_reactions is idempotent.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exhausts its retries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workflow writes status='failed' with the error, then re-raises so Temporal records it.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configuration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fetch_study_context raises before any LLM call — a bad claim id, a missing avatar, or a persona with no prompt all fail at zero cost.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Nobody reviews in time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becomes 'expired', not 'failed' — the pipeline did its job.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Cooperative: the in-flight batch finishes and is persisted, then the run stops at the next safe checkpoint.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9. Verification</w:t>
      </w:r>
    </w:p>
    <w:p>
      <w:pPr>
        <w:spacing w:after="120" w:line="276"/>
      </w:pPr>
      <w:r>
        <w:t xml:space="preserve">Two scripts ship with the engine and are the basis of every figure in this document: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validate_run.py — 32 pre-run configuration checks and 66 post-run correctness checks. The scoring checks re-derive every stored score from its stored probability distribution rather than re-reading what the pipeline reported, so a bug in the maths fails here instead of confirming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inspect_workflow.py — Temporal's own record: activity order, attempt counts, signals received, the Gate 2 timer, and the continue_as_new chain length.</w:t>
      </w:r>
    </w:p>
    <w:p>
      <w:pPr>
        <w:spacing w:after="40" w:line="276"/>
      </w:pPr>
      <w:r>
        <w:t xml:space="preserve"> </w:t>
      </w:r>
    </w:p>
    <w:p>
      <w:pPr>
        <w:spacing w:after="120" w:line="276"/>
      </w:pPr>
      <w:r>
        <w:t xml:space="preserve">Measured on a real 100-reaction run (4 personas × 5 respondents × 5 claims):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config validation      ALL 32 CHECKS PASSED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at Gate 2              100 reactions, 20 respondents, 5 ranked, 0 reports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after finalize         finalized, 1 report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results validation     ALL 66 CHECKS PASSED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Temporal               APPROVED run over 2 batches, 0 activity failures,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Gate 2 timer: 1 started, 1 cancelled by the signal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continue_as_new test   3 hops across a 4-execution chain,</w:t>
      </w:r>
    </w:p>
    <w:p>
      <w:pPr>
        <w:shd w:fill="F4F6F8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all 100 reactions preserved across the hops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10.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30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This overview, with the full flow diagram.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STEPS.md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Copy-paste commands to run the system in four terminals.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API_TO_ENGINE.md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each endpoint triggers, down to the database write.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RUN_FLOW.md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Stage-by-stage detail and parameter routing.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CODE_EXPLANATION.md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script in execution order: what it reads, what it writes.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to validate each stage independently.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apps/engine/DESIGN.md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rationale and known gaps.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SSR Engine — Architecture Overview</dc:title>
  <dc:creator>Digital Twin</dc:creator>
  <dc:description>High-level architecture of the SSR message-testing engine</dc:description>
  <cp:lastModifiedBy>Un-named</cp:lastModifiedBy>
  <cp:revision>1</cp:revision>
  <dcterms:created xsi:type="dcterms:W3CDTF">2026-09-19T12:18:25.313Z</dcterms:created>
  <dcterms:modified xsi:type="dcterms:W3CDTF">2026-09-19T12:18:25.313Z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