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61" w:rsidRPr="00161C61" w:rsidRDefault="00161C61">
      <w:pPr>
        <w:rPr>
          <w:b/>
          <w:sz w:val="28"/>
          <w:szCs w:val="28"/>
        </w:rPr>
      </w:pPr>
      <w:r w:rsidRPr="00161C61">
        <w:rPr>
          <w:b/>
          <w:sz w:val="28"/>
          <w:szCs w:val="28"/>
        </w:rPr>
        <w:t>6. Виды и перспективы возобновляемых источников энергии.</w:t>
      </w:r>
    </w:p>
    <w:p w:rsidR="009913E6" w:rsidRDefault="009913E6">
      <w:r>
        <w:rPr>
          <w:sz w:val="28"/>
          <w:szCs w:val="28"/>
        </w:rPr>
        <w:t>Таблица. Виды, эффективность и доступность вторичных источников энергии в современных условиях.</w:t>
      </w:r>
    </w:p>
    <w:p w:rsidR="00F27F6B" w:rsidRDefault="009913E6">
      <w:r>
        <w:rPr>
          <w:noProof/>
          <w:lang w:eastAsia="ru-RU"/>
        </w:rPr>
        <w:drawing>
          <wp:inline distT="0" distB="0" distL="0" distR="0" wp14:anchorId="5B7EF835" wp14:editId="24BC738E">
            <wp:extent cx="49815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E6" w:rsidRDefault="009913E6">
      <w:pPr>
        <w:rPr>
          <w:sz w:val="28"/>
          <w:szCs w:val="28"/>
        </w:rPr>
      </w:pPr>
      <w:r>
        <w:rPr>
          <w:sz w:val="28"/>
          <w:szCs w:val="28"/>
        </w:rPr>
        <w:t xml:space="preserve">Есть ряд факторов, определяющий перспективность </w:t>
      </w:r>
      <w:r w:rsidRPr="009913E6">
        <w:rPr>
          <w:sz w:val="28"/>
          <w:szCs w:val="28"/>
        </w:rPr>
        <w:t>возобновляемых источников энергии</w:t>
      </w:r>
      <w:r>
        <w:rPr>
          <w:sz w:val="28"/>
          <w:szCs w:val="28"/>
        </w:rPr>
        <w:t xml:space="preserve">. </w:t>
      </w:r>
    </w:p>
    <w:p w:rsidR="009913E6" w:rsidRPr="009913E6" w:rsidRDefault="009913E6" w:rsidP="009913E6">
      <w:pPr>
        <w:pStyle w:val="a5"/>
        <w:numPr>
          <w:ilvl w:val="0"/>
          <w:numId w:val="1"/>
        </w:numPr>
      </w:pPr>
      <w:r w:rsidRPr="009913E6">
        <w:rPr>
          <w:sz w:val="28"/>
          <w:szCs w:val="28"/>
        </w:rPr>
        <w:t>ВИЭ являются в основном распределенными и с очень низкой плотностью энергии. Для сравнения, тепловые и атомные электростанции имеют выход ~ 150 кВт/м</w:t>
      </w:r>
      <w:proofErr w:type="gramStart"/>
      <w:r w:rsidRPr="009913E6">
        <w:rPr>
          <w:sz w:val="18"/>
          <w:szCs w:val="18"/>
        </w:rPr>
        <w:t>2</w:t>
      </w:r>
      <w:proofErr w:type="gramEnd"/>
      <w:r w:rsidRPr="009913E6">
        <w:rPr>
          <w:sz w:val="18"/>
          <w:szCs w:val="18"/>
        </w:rPr>
        <w:t xml:space="preserve"> </w:t>
      </w:r>
      <w:r w:rsidRPr="009913E6">
        <w:rPr>
          <w:sz w:val="28"/>
          <w:szCs w:val="28"/>
        </w:rPr>
        <w:t>.</w:t>
      </w:r>
      <w:r>
        <w:rPr>
          <w:sz w:val="28"/>
          <w:szCs w:val="28"/>
        </w:rPr>
        <w:t xml:space="preserve"> Поэтому использование ВИЭ требует значительные площади вблизи проживания больших групп населения, что экономически нецелесообразно из-за высокой стоимости земли для жилищ и производств вблизи крупных мегаполисов.</w:t>
      </w:r>
    </w:p>
    <w:p w:rsidR="009913E6" w:rsidRPr="00442878" w:rsidRDefault="009913E6" w:rsidP="009913E6">
      <w:pPr>
        <w:pStyle w:val="a5"/>
        <w:numPr>
          <w:ilvl w:val="0"/>
          <w:numId w:val="1"/>
        </w:numPr>
      </w:pPr>
      <w:r>
        <w:rPr>
          <w:sz w:val="28"/>
          <w:szCs w:val="28"/>
        </w:rPr>
        <w:t>Во-вторых, наиболее развиваемые в настоящее время ветряная (ВЭС) и солнечная (СЭС) электроэнергетика плохо воспроизводит устоявшиеся потребности современного человечества в электроэнергии.</w:t>
      </w:r>
    </w:p>
    <w:p w:rsidR="00442878" w:rsidRPr="009913E6" w:rsidRDefault="00442878" w:rsidP="00442878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4901D7F4" wp14:editId="66C688B3">
            <wp:extent cx="472440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3E6" w:rsidRPr="009913E6" w:rsidRDefault="009913E6" w:rsidP="009913E6">
      <w:pPr>
        <w:pStyle w:val="a5"/>
        <w:numPr>
          <w:ilvl w:val="0"/>
          <w:numId w:val="1"/>
        </w:numPr>
      </w:pPr>
      <w:r>
        <w:rPr>
          <w:sz w:val="28"/>
          <w:szCs w:val="28"/>
        </w:rPr>
        <w:t>Перспективы гидроэнергетических электростанций (ГЭС) ограничены возможностями заселения людей вблизи крупных и полноводных рек. В долгосрочной перспективе при заселении неосвоенных территорий вдоль мощных рек Сибири, Северной и Южной Америк, можно ожидать незначительное увеличение этой доли возобновляемого источника в мировой энергетике.</w:t>
      </w:r>
    </w:p>
    <w:p w:rsidR="009913E6" w:rsidRDefault="009913E6" w:rsidP="009913E6">
      <w:pPr>
        <w:ind w:left="360"/>
        <w:rPr>
          <w:sz w:val="28"/>
          <w:szCs w:val="28"/>
        </w:rPr>
      </w:pPr>
      <w:r>
        <w:rPr>
          <w:sz w:val="28"/>
          <w:szCs w:val="28"/>
        </w:rPr>
        <w:t>Перечисленные выше ограничения предполагают умеренный, в ближайшей исторической перспективе, вклад ВИЭ в обеспечение энергетических потребностей человечества. Но по мере исчерпания ископаемых и роста их стоимости, экономические ограничения для развития ВИЭ будут ослабляться.</w:t>
      </w:r>
    </w:p>
    <w:p w:rsidR="009913E6" w:rsidRDefault="009913E6" w:rsidP="009913E6">
      <w:pPr>
        <w:ind w:left="360"/>
        <w:rPr>
          <w:sz w:val="28"/>
          <w:szCs w:val="28"/>
        </w:rPr>
      </w:pPr>
      <w:r>
        <w:rPr>
          <w:sz w:val="28"/>
          <w:szCs w:val="28"/>
        </w:rPr>
        <w:t>ВИЭ – очень дороги. Германия, где уделяется наибольшее внимание развитию «зеленой» энергетики, дотирует эту отрасль на уровне 20 миллиардов евро в год.</w:t>
      </w:r>
    </w:p>
    <w:p w:rsidR="00171EB7" w:rsidRPr="00161C61" w:rsidRDefault="00161C61" w:rsidP="009913E6">
      <w:pPr>
        <w:ind w:left="360"/>
        <w:rPr>
          <w:b/>
          <w:sz w:val="28"/>
          <w:szCs w:val="28"/>
        </w:rPr>
      </w:pPr>
      <w:r w:rsidRPr="00161C61">
        <w:rPr>
          <w:b/>
          <w:sz w:val="28"/>
          <w:szCs w:val="28"/>
        </w:rPr>
        <w:t>9. Области применения термоядерных источников нейтронов.</w:t>
      </w:r>
    </w:p>
    <w:p w:rsidR="00F01A42" w:rsidRDefault="00F01A42" w:rsidP="00F01A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Гибридные реакторы - </w:t>
      </w:r>
      <w:r w:rsidRPr="00F01A42">
        <w:rPr>
          <w:sz w:val="28"/>
          <w:szCs w:val="28"/>
        </w:rPr>
        <w:t xml:space="preserve">токамак играет роль </w:t>
      </w:r>
      <w:r>
        <w:rPr>
          <w:sz w:val="28"/>
          <w:szCs w:val="28"/>
        </w:rPr>
        <w:t>ТИН.</w:t>
      </w:r>
    </w:p>
    <w:p w:rsidR="00F01A42" w:rsidRDefault="00171EB7" w:rsidP="009913E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Гибридные реакторы способны стать важным элементом в замыкании ядерного топливного цикла</w:t>
      </w:r>
      <w:r w:rsidR="00AD0A8F">
        <w:rPr>
          <w:sz w:val="28"/>
          <w:szCs w:val="28"/>
        </w:rPr>
        <w:t xml:space="preserve"> (могут вырабатывать энергию и нарабатывать топливо)</w:t>
      </w:r>
      <w:r>
        <w:rPr>
          <w:sz w:val="28"/>
          <w:szCs w:val="28"/>
        </w:rPr>
        <w:t xml:space="preserve">. Кроме того, термоядерные нейтроны с энергией 14 МэВ могут работать в </w:t>
      </w:r>
      <w:proofErr w:type="spellStart"/>
      <w:r>
        <w:rPr>
          <w:sz w:val="28"/>
          <w:szCs w:val="28"/>
        </w:rPr>
        <w:t>трансмутаторах</w:t>
      </w:r>
      <w:proofErr w:type="spellEnd"/>
      <w:r>
        <w:rPr>
          <w:sz w:val="28"/>
          <w:szCs w:val="28"/>
        </w:rPr>
        <w:t xml:space="preserve"> по переработке ОЯТ, то есть по сжиганию в нем долгоживущих </w:t>
      </w:r>
      <w:r w:rsidR="00F01A42">
        <w:rPr>
          <w:sz w:val="28"/>
          <w:szCs w:val="28"/>
        </w:rPr>
        <w:t>изотопов</w:t>
      </w:r>
      <w:r>
        <w:rPr>
          <w:sz w:val="28"/>
          <w:szCs w:val="28"/>
        </w:rPr>
        <w:t xml:space="preserve">. Это в перспективе позволит снять экологическую проблему захоронения ОЯТ. </w:t>
      </w:r>
    </w:p>
    <w:p w:rsidR="00171EB7" w:rsidRDefault="00171EB7" w:rsidP="009913E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Помимо вышеназванного, мощные термоядерные источники нейтронов помогут решить ключевую проблему создания и верификации новых материалов, способных выдерживать значительные нейтронные </w:t>
      </w:r>
      <w:r w:rsidR="00F01A42">
        <w:rPr>
          <w:sz w:val="28"/>
          <w:szCs w:val="28"/>
        </w:rPr>
        <w:t>нагрузки</w:t>
      </w:r>
      <w:r>
        <w:rPr>
          <w:sz w:val="28"/>
          <w:szCs w:val="28"/>
        </w:rPr>
        <w:t xml:space="preserve"> в будущем термоядерном энергетическом реакторе</w:t>
      </w:r>
      <w:r w:rsidR="00F01A42">
        <w:rPr>
          <w:sz w:val="28"/>
          <w:szCs w:val="28"/>
        </w:rPr>
        <w:t>.</w:t>
      </w:r>
    </w:p>
    <w:p w:rsidR="00171EB7" w:rsidRDefault="00F01A42" w:rsidP="009913E6">
      <w:pPr>
        <w:ind w:left="360"/>
      </w:pPr>
      <w:r>
        <w:rPr>
          <w:sz w:val="28"/>
          <w:szCs w:val="28"/>
        </w:rPr>
        <w:t xml:space="preserve">Также </w:t>
      </w:r>
      <w:r w:rsidR="00171EB7">
        <w:rPr>
          <w:sz w:val="28"/>
          <w:szCs w:val="28"/>
        </w:rPr>
        <w:t>перспективные применения в науке и технике: нейтронная диагностика повреждений материалов; мониторинг нан</w:t>
      </w:r>
      <w:proofErr w:type="gramStart"/>
      <w:r w:rsidR="00171EB7">
        <w:rPr>
          <w:sz w:val="28"/>
          <w:szCs w:val="28"/>
        </w:rPr>
        <w:t>о-</w:t>
      </w:r>
      <w:proofErr w:type="gramEnd"/>
      <w:r w:rsidR="00171EB7">
        <w:rPr>
          <w:sz w:val="28"/>
          <w:szCs w:val="28"/>
        </w:rPr>
        <w:t xml:space="preserve"> и биообъектов; радиационные испытания и модификация объемных свойств материалов на промышленном уровне; повышение (до 100 раз) достигнутой точности экспериментов в области нейтронной физики, что позволит лучше понять строение материи, в том числе и самого нейтрона.</w:t>
      </w:r>
    </w:p>
    <w:sectPr w:rsidR="00171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61C8"/>
    <w:multiLevelType w:val="hybridMultilevel"/>
    <w:tmpl w:val="76F03182"/>
    <w:lvl w:ilvl="0" w:tplc="DA1C16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E6"/>
    <w:rsid w:val="00161C61"/>
    <w:rsid w:val="00171EB7"/>
    <w:rsid w:val="00442878"/>
    <w:rsid w:val="009913E6"/>
    <w:rsid w:val="00AD0A8F"/>
    <w:rsid w:val="00F01A42"/>
    <w:rsid w:val="00F2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3E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1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3E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2</cp:revision>
  <dcterms:created xsi:type="dcterms:W3CDTF">2020-09-22T16:31:00Z</dcterms:created>
  <dcterms:modified xsi:type="dcterms:W3CDTF">2020-10-01T09:21:00Z</dcterms:modified>
</cp:coreProperties>
</file>